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082952" w:rsidRDefault="001C1D36" w:rsidP="00082952">
      <w:pPr>
        <w:spacing w:line="276" w:lineRule="auto"/>
        <w:rPr>
          <w:rFonts w:ascii="Calibri" w:hAnsi="Calibri" w:cs="Calibri"/>
          <w:b/>
          <w:bCs/>
        </w:rPr>
      </w:pPr>
      <w:r w:rsidRPr="00082952">
        <w:rPr>
          <w:rFonts w:ascii="Calibri" w:hAnsi="Calibri" w:cs="Calibri"/>
          <w:b/>
          <w:bCs/>
        </w:rPr>
        <w:t>News Release</w:t>
      </w:r>
    </w:p>
    <w:p w14:paraId="04500935" w14:textId="77777777" w:rsidR="001C1D36" w:rsidRPr="00082952" w:rsidRDefault="001C1D36" w:rsidP="00082952">
      <w:pPr>
        <w:spacing w:line="276" w:lineRule="auto"/>
        <w:rPr>
          <w:rFonts w:ascii="Calibri" w:hAnsi="Calibri" w:cs="Calibri"/>
          <w:b/>
          <w:bCs/>
        </w:rPr>
      </w:pPr>
      <w:r w:rsidRPr="00082952">
        <w:rPr>
          <w:rFonts w:ascii="Calibri" w:hAnsi="Calibri" w:cs="Calibri"/>
          <w:b/>
          <w:bCs/>
        </w:rPr>
        <w:t>For Immediate Release</w:t>
      </w:r>
    </w:p>
    <w:p w14:paraId="3921EA1D" w14:textId="534FBD1B" w:rsidR="001C1D36" w:rsidRPr="00082952" w:rsidRDefault="00144AE7" w:rsidP="00082952">
      <w:pPr>
        <w:spacing w:line="276" w:lineRule="auto"/>
        <w:rPr>
          <w:rFonts w:ascii="Calibri" w:hAnsi="Calibri" w:cs="Calibri"/>
          <w:b/>
          <w:bCs/>
        </w:rPr>
      </w:pPr>
      <w:r>
        <w:rPr>
          <w:rFonts w:ascii="Calibri" w:hAnsi="Calibri" w:cs="Calibri"/>
          <w:b/>
          <w:bCs/>
        </w:rPr>
        <w:t>9 April</w:t>
      </w:r>
      <w:r w:rsidR="001C1D36" w:rsidRPr="00082952">
        <w:rPr>
          <w:rFonts w:ascii="Calibri" w:hAnsi="Calibri" w:cs="Calibri"/>
          <w:b/>
          <w:bCs/>
        </w:rPr>
        <w:t xml:space="preserve"> 202</w:t>
      </w:r>
      <w:r w:rsidR="00082952">
        <w:rPr>
          <w:rFonts w:ascii="Calibri" w:hAnsi="Calibri" w:cs="Calibri"/>
          <w:b/>
          <w:bCs/>
        </w:rPr>
        <w:t>6</w:t>
      </w:r>
    </w:p>
    <w:p w14:paraId="23F4C141" w14:textId="77777777" w:rsidR="00A911AE" w:rsidRPr="00082952" w:rsidRDefault="00A911AE" w:rsidP="00082952">
      <w:pPr>
        <w:spacing w:line="276" w:lineRule="auto"/>
        <w:rPr>
          <w:rFonts w:ascii="Calibri" w:hAnsi="Calibri" w:cs="Calibri"/>
        </w:rPr>
      </w:pPr>
    </w:p>
    <w:p w14:paraId="35726E19" w14:textId="77777777" w:rsidR="00611E3E" w:rsidRPr="00082952" w:rsidRDefault="00611E3E" w:rsidP="00082952">
      <w:pPr>
        <w:spacing w:line="276" w:lineRule="auto"/>
        <w:jc w:val="center"/>
        <w:rPr>
          <w:rFonts w:ascii="Calibri" w:hAnsi="Calibri" w:cs="Calibri"/>
        </w:rPr>
      </w:pPr>
      <w:r w:rsidRPr="00082952">
        <w:rPr>
          <w:rFonts w:ascii="Calibri" w:hAnsi="Calibri" w:cs="Calibri"/>
          <w:b/>
          <w:bCs/>
        </w:rPr>
        <w:t>Elite Yacht Covers announces new lease at MDL’s Hamble Point Marina</w:t>
      </w:r>
    </w:p>
    <w:p w14:paraId="01F67872" w14:textId="77777777" w:rsidR="00611E3E" w:rsidRPr="00082952" w:rsidRDefault="00611E3E" w:rsidP="00082952">
      <w:pPr>
        <w:spacing w:line="276" w:lineRule="auto"/>
        <w:rPr>
          <w:rFonts w:ascii="Calibri" w:hAnsi="Calibri" w:cs="Calibri"/>
        </w:rPr>
      </w:pPr>
      <w:r w:rsidRPr="00082952">
        <w:rPr>
          <w:rFonts w:ascii="Calibri" w:hAnsi="Calibri" w:cs="Calibri"/>
        </w:rPr>
        <w:t> </w:t>
      </w:r>
    </w:p>
    <w:p w14:paraId="67776C34" w14:textId="77777777" w:rsidR="00611E3E" w:rsidRPr="00082952" w:rsidRDefault="00611E3E" w:rsidP="00082952">
      <w:pPr>
        <w:spacing w:line="276" w:lineRule="auto"/>
        <w:rPr>
          <w:rFonts w:ascii="Calibri" w:hAnsi="Calibri" w:cs="Calibri"/>
        </w:rPr>
      </w:pPr>
      <w:r w:rsidRPr="00082952">
        <w:rPr>
          <w:rFonts w:ascii="Calibri" w:hAnsi="Calibri" w:cs="Calibri"/>
        </w:rPr>
        <w:t>MDL Marinas is pleased to announce Elite Yacht Covers has signed a new five-year lease at Hamble Point Marina, with operations set to begin this month. The move marks a significant expansion for the yacht canvas company as it establishes a dedicated South Coast base within one of the UK’s most active and influential marine centres.</w:t>
      </w:r>
    </w:p>
    <w:p w14:paraId="6B7EE8F9" w14:textId="77777777" w:rsidR="00611E3E" w:rsidRPr="00082952" w:rsidRDefault="00611E3E" w:rsidP="00082952">
      <w:pPr>
        <w:spacing w:line="276" w:lineRule="auto"/>
        <w:rPr>
          <w:rFonts w:ascii="Calibri" w:hAnsi="Calibri" w:cs="Calibri"/>
        </w:rPr>
      </w:pPr>
      <w:r w:rsidRPr="00082952">
        <w:rPr>
          <w:rFonts w:ascii="Calibri" w:hAnsi="Calibri" w:cs="Calibri"/>
        </w:rPr>
        <w:t> </w:t>
      </w:r>
    </w:p>
    <w:p w14:paraId="7EBC8061" w14:textId="77777777" w:rsidR="00611E3E" w:rsidRPr="004C47DB" w:rsidRDefault="00611E3E" w:rsidP="004C47DB">
      <w:pPr>
        <w:spacing w:line="276" w:lineRule="auto"/>
        <w:rPr>
          <w:rFonts w:ascii="Calibri" w:hAnsi="Calibri" w:cs="Calibri"/>
        </w:rPr>
      </w:pPr>
      <w:r w:rsidRPr="00082952">
        <w:rPr>
          <w:rFonts w:ascii="Calibri" w:hAnsi="Calibri" w:cs="Calibri"/>
        </w:rPr>
        <w:t xml:space="preserve">Elite Yacht Covers will occupy a 618 </w:t>
      </w:r>
      <w:proofErr w:type="spellStart"/>
      <w:r w:rsidRPr="00082952">
        <w:rPr>
          <w:rFonts w:ascii="Calibri" w:hAnsi="Calibri" w:cs="Calibri"/>
        </w:rPr>
        <w:t>sq</w:t>
      </w:r>
      <w:proofErr w:type="spellEnd"/>
      <w:r w:rsidRPr="00082952">
        <w:rPr>
          <w:rFonts w:ascii="Calibri" w:hAnsi="Calibri" w:cs="Calibri"/>
        </w:rPr>
        <w:t xml:space="preserve"> ft unit at the marina, sharing the new office space with White Dot Sailing. This strategic relocation strengthens Elite Yacht Covers’ presence </w:t>
      </w:r>
      <w:r w:rsidRPr="004C47DB">
        <w:rPr>
          <w:rFonts w:ascii="Calibri" w:hAnsi="Calibri" w:cs="Calibri"/>
        </w:rPr>
        <w:t>across the UK and enhances access to a broad and diverse customer base.</w:t>
      </w:r>
    </w:p>
    <w:p w14:paraId="2096070C" w14:textId="77777777" w:rsidR="00611E3E" w:rsidRPr="004C47DB" w:rsidRDefault="00611E3E" w:rsidP="004C47DB">
      <w:pPr>
        <w:spacing w:line="276" w:lineRule="auto"/>
        <w:rPr>
          <w:rFonts w:ascii="Calibri" w:hAnsi="Calibri" w:cs="Calibri"/>
        </w:rPr>
      </w:pPr>
      <w:r w:rsidRPr="004C47DB">
        <w:rPr>
          <w:rFonts w:ascii="Calibri" w:hAnsi="Calibri" w:cs="Calibri"/>
        </w:rPr>
        <w:t> </w:t>
      </w:r>
    </w:p>
    <w:p w14:paraId="281F06F8" w14:textId="63303490" w:rsidR="00611E3E" w:rsidRPr="004C47DB" w:rsidRDefault="004C47DB" w:rsidP="004C47DB">
      <w:pPr>
        <w:spacing w:line="276" w:lineRule="auto"/>
        <w:rPr>
          <w:rFonts w:ascii="Calibri" w:hAnsi="Calibri" w:cs="Calibri"/>
        </w:rPr>
      </w:pPr>
      <w:r w:rsidRPr="004C47DB">
        <w:rPr>
          <w:rFonts w:ascii="Calibri" w:hAnsi="Calibri" w:cs="Calibri"/>
        </w:rPr>
        <w:t>“The fact that there is currently no other specialist cover maker on-site, combined with the variety of marine services already available at the marina, made Hamble Point the ideal location for our expansion,” says Noah di Paola, South Coast Manager at Elite Yacht Covers. “Through this new location, we will also be looking to support superyachts entering Ocean Village with our subsidiary, Elite Super Yacht Covers.”</w:t>
      </w:r>
      <w:r w:rsidR="00611E3E" w:rsidRPr="004C47DB">
        <w:rPr>
          <w:rFonts w:ascii="Calibri" w:hAnsi="Calibri" w:cs="Calibri"/>
        </w:rPr>
        <w:t> </w:t>
      </w:r>
    </w:p>
    <w:p w14:paraId="2CDABE88" w14:textId="77777777" w:rsidR="004C47DB" w:rsidRPr="004C47DB" w:rsidRDefault="004C47DB" w:rsidP="004C47DB">
      <w:pPr>
        <w:spacing w:line="276" w:lineRule="auto"/>
        <w:rPr>
          <w:rFonts w:ascii="Calibri" w:hAnsi="Calibri" w:cs="Calibri"/>
        </w:rPr>
      </w:pPr>
    </w:p>
    <w:p w14:paraId="495B1636" w14:textId="7FC0ABFB" w:rsidR="00611E3E" w:rsidRPr="00082952" w:rsidRDefault="00611E3E" w:rsidP="004C47DB">
      <w:pPr>
        <w:spacing w:line="276" w:lineRule="auto"/>
        <w:rPr>
          <w:rFonts w:ascii="Calibri" w:hAnsi="Calibri" w:cs="Calibri"/>
        </w:rPr>
      </w:pPr>
      <w:r w:rsidRPr="004C47DB">
        <w:rPr>
          <w:rFonts w:ascii="Calibri" w:hAnsi="Calibri" w:cs="Calibri"/>
        </w:rPr>
        <w:t xml:space="preserve">MDL Marinas </w:t>
      </w:r>
      <w:r w:rsidRPr="00082952">
        <w:rPr>
          <w:rFonts w:ascii="Calibri" w:hAnsi="Calibri" w:cs="Calibri"/>
        </w:rPr>
        <w:t>welcomes the addition of Elite Yacht Covers as part of its ongoing</w:t>
      </w:r>
      <w:r w:rsidR="00891683">
        <w:rPr>
          <w:rFonts w:ascii="Calibri" w:hAnsi="Calibri" w:cs="Calibri"/>
        </w:rPr>
        <w:t xml:space="preserve"> </w:t>
      </w:r>
      <w:r w:rsidRPr="00082952">
        <w:rPr>
          <w:rFonts w:ascii="Calibri" w:hAnsi="Calibri" w:cs="Calibri"/>
        </w:rPr>
        <w:t>commitment to supporting high-quality marine businesses across its network.</w:t>
      </w:r>
    </w:p>
    <w:p w14:paraId="466FDF59" w14:textId="77777777" w:rsidR="00611E3E" w:rsidRPr="00082952" w:rsidRDefault="00611E3E" w:rsidP="00082952">
      <w:pPr>
        <w:spacing w:line="276" w:lineRule="auto"/>
        <w:rPr>
          <w:rFonts w:ascii="Calibri" w:hAnsi="Calibri" w:cs="Calibri"/>
        </w:rPr>
      </w:pPr>
      <w:r w:rsidRPr="00082952">
        <w:rPr>
          <w:rFonts w:ascii="Calibri" w:hAnsi="Calibri" w:cs="Calibri"/>
        </w:rPr>
        <w:t> </w:t>
      </w:r>
    </w:p>
    <w:p w14:paraId="4CD828FB" w14:textId="7EC164E1" w:rsidR="00611E3E" w:rsidRPr="00082952" w:rsidRDefault="00611E3E" w:rsidP="00082952">
      <w:pPr>
        <w:spacing w:line="276" w:lineRule="auto"/>
        <w:rPr>
          <w:rFonts w:ascii="Calibri" w:hAnsi="Calibri" w:cs="Calibri"/>
        </w:rPr>
      </w:pPr>
      <w:r w:rsidRPr="00082952">
        <w:rPr>
          <w:rFonts w:ascii="Calibri" w:hAnsi="Calibri" w:cs="Calibri"/>
        </w:rPr>
        <w:t>“We’re thrilled to have Elite Yacht Covers joining us at Hamble Point,” says Marina Manager, Dominic Brown</w:t>
      </w:r>
      <w:r w:rsidR="007150D3">
        <w:rPr>
          <w:rFonts w:ascii="Calibri" w:hAnsi="Calibri" w:cs="Calibri"/>
        </w:rPr>
        <w:t>.</w:t>
      </w:r>
      <w:r w:rsidRPr="00082952">
        <w:rPr>
          <w:rFonts w:ascii="Calibri" w:hAnsi="Calibri" w:cs="Calibri"/>
        </w:rPr>
        <w:t xml:space="preserve"> “Their reputation for craftsmanship and customer service aligns perfectly with MDL’s focus on delivering exceptional marine experiences. The team will be a valuable addition to the diverse cluster of specialists already operating at the marina.”</w:t>
      </w:r>
    </w:p>
    <w:p w14:paraId="1BA9023F" w14:textId="77777777" w:rsidR="00611E3E" w:rsidRPr="00082952" w:rsidRDefault="00611E3E" w:rsidP="00082952">
      <w:pPr>
        <w:spacing w:line="276" w:lineRule="auto"/>
        <w:rPr>
          <w:rFonts w:ascii="Calibri" w:hAnsi="Calibri" w:cs="Calibri"/>
        </w:rPr>
      </w:pPr>
      <w:r w:rsidRPr="00082952">
        <w:rPr>
          <w:rFonts w:ascii="Calibri" w:hAnsi="Calibri" w:cs="Calibri"/>
        </w:rPr>
        <w:t> </w:t>
      </w:r>
    </w:p>
    <w:p w14:paraId="3DC7F54A" w14:textId="77777777" w:rsidR="00611E3E" w:rsidRPr="00082952" w:rsidRDefault="00611E3E" w:rsidP="00082952">
      <w:pPr>
        <w:spacing w:line="276" w:lineRule="auto"/>
        <w:rPr>
          <w:rFonts w:ascii="Calibri" w:hAnsi="Calibri" w:cs="Calibri"/>
        </w:rPr>
      </w:pPr>
      <w:r w:rsidRPr="00082952">
        <w:rPr>
          <w:rFonts w:ascii="Calibri" w:hAnsi="Calibri" w:cs="Calibri"/>
        </w:rPr>
        <w:t>Situated at the mouth of the River Hamble, Hamble Point Marina is renowned for its concentration of marine expertise, providing an ideal environment for businesses looking to reach a vibrant sailing community and commercial client base.</w:t>
      </w:r>
    </w:p>
    <w:p w14:paraId="3B19FFE2" w14:textId="77777777" w:rsidR="00611E3E" w:rsidRPr="00082952" w:rsidRDefault="00611E3E" w:rsidP="00082952">
      <w:pPr>
        <w:spacing w:line="276" w:lineRule="auto"/>
        <w:rPr>
          <w:rFonts w:ascii="Calibri" w:hAnsi="Calibri" w:cs="Calibri"/>
        </w:rPr>
      </w:pPr>
      <w:r w:rsidRPr="00082952">
        <w:rPr>
          <w:rFonts w:ascii="Calibri" w:hAnsi="Calibri" w:cs="Calibri"/>
        </w:rPr>
        <w:t> </w:t>
      </w:r>
    </w:p>
    <w:p w14:paraId="6F7A5F6F" w14:textId="23718C2A" w:rsidR="00611E3E" w:rsidRPr="00082952" w:rsidRDefault="00611E3E" w:rsidP="00082952">
      <w:pPr>
        <w:spacing w:line="276" w:lineRule="auto"/>
        <w:rPr>
          <w:rFonts w:ascii="Calibri" w:hAnsi="Calibri" w:cs="Calibri"/>
        </w:rPr>
      </w:pPr>
      <w:r w:rsidRPr="00082952">
        <w:rPr>
          <w:rFonts w:ascii="Calibri" w:hAnsi="Calibri" w:cs="Calibri"/>
        </w:rPr>
        <w:t>If you’d like to learn more about Elite Yacht Covers and its bespoke products, please visit: </w:t>
      </w:r>
      <w:hyperlink r:id="rId8" w:history="1">
        <w:r w:rsidR="007150D3" w:rsidRPr="00723D05">
          <w:rPr>
            <w:rStyle w:val="Hyperlink"/>
            <w:rFonts w:ascii="Calibri" w:hAnsi="Calibri" w:cs="Calibri"/>
          </w:rPr>
          <w:t>w</w:t>
        </w:r>
        <w:r w:rsidR="007150D3" w:rsidRPr="00723D05">
          <w:rPr>
            <w:rStyle w:val="Hyperlink"/>
            <w:rFonts w:ascii="Calibri" w:hAnsi="Calibri" w:cs="Calibri"/>
          </w:rPr>
          <w:t>ww.eliteyachtcovers.com/</w:t>
        </w:r>
      </w:hyperlink>
    </w:p>
    <w:p w14:paraId="44AC1977" w14:textId="77777777" w:rsidR="00611E3E" w:rsidRPr="00082952" w:rsidRDefault="00611E3E" w:rsidP="00082952">
      <w:pPr>
        <w:spacing w:line="276" w:lineRule="auto"/>
        <w:rPr>
          <w:rFonts w:ascii="Calibri" w:hAnsi="Calibri" w:cs="Calibri"/>
        </w:rPr>
      </w:pPr>
      <w:r w:rsidRPr="00082952">
        <w:rPr>
          <w:rFonts w:ascii="Calibri" w:hAnsi="Calibri" w:cs="Calibri"/>
        </w:rPr>
        <w:lastRenderedPageBreak/>
        <w:t> </w:t>
      </w:r>
    </w:p>
    <w:p w14:paraId="1959B2B0" w14:textId="585E1369" w:rsidR="00611E3E" w:rsidRPr="00082952" w:rsidRDefault="00611E3E" w:rsidP="00082952">
      <w:pPr>
        <w:spacing w:line="276" w:lineRule="auto"/>
        <w:rPr>
          <w:rFonts w:ascii="Calibri" w:hAnsi="Calibri" w:cs="Calibri"/>
        </w:rPr>
      </w:pPr>
      <w:r w:rsidRPr="00082952">
        <w:rPr>
          <w:rFonts w:ascii="Calibri" w:hAnsi="Calibri" w:cs="Calibri"/>
        </w:rPr>
        <w:t>For more information on the facilities and services offered at MDL’s Hamble Point Marina, please visit: </w:t>
      </w:r>
      <w:hyperlink r:id="rId9" w:history="1">
        <w:r w:rsidR="007150D3" w:rsidRPr="00723D05">
          <w:rPr>
            <w:rStyle w:val="Hyperlink"/>
            <w:rFonts w:ascii="Calibri" w:hAnsi="Calibri" w:cs="Calibri"/>
          </w:rPr>
          <w:t>w</w:t>
        </w:r>
        <w:r w:rsidR="007150D3" w:rsidRPr="00723D05">
          <w:rPr>
            <w:rStyle w:val="Hyperlink"/>
            <w:rFonts w:ascii="Calibri" w:hAnsi="Calibri" w:cs="Calibri"/>
          </w:rPr>
          <w:t>ww.hamblepointmarina.co.uk</w:t>
        </w:r>
      </w:hyperlink>
    </w:p>
    <w:p w14:paraId="2128D637" w14:textId="77777777" w:rsidR="00611E3E" w:rsidRPr="00082952" w:rsidRDefault="00611E3E" w:rsidP="00082952">
      <w:pPr>
        <w:spacing w:line="276" w:lineRule="auto"/>
        <w:rPr>
          <w:rFonts w:ascii="Calibri" w:hAnsi="Calibri" w:cs="Calibri"/>
        </w:rPr>
      </w:pPr>
      <w:r w:rsidRPr="00082952">
        <w:rPr>
          <w:rFonts w:ascii="Calibri" w:hAnsi="Calibri" w:cs="Calibri"/>
        </w:rPr>
        <w:t> </w:t>
      </w:r>
    </w:p>
    <w:p w14:paraId="36AED260" w14:textId="77777777" w:rsidR="00611E3E" w:rsidRPr="00082952" w:rsidRDefault="00611E3E" w:rsidP="00082952">
      <w:pPr>
        <w:spacing w:line="276" w:lineRule="auto"/>
        <w:rPr>
          <w:rFonts w:ascii="Calibri" w:hAnsi="Calibri" w:cs="Calibri"/>
        </w:rPr>
      </w:pPr>
      <w:r w:rsidRPr="00082952">
        <w:rPr>
          <w:rFonts w:ascii="Calibri" w:hAnsi="Calibri" w:cs="Calibri"/>
          <w:b/>
          <w:bCs/>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10"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1"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0E39A01" w14:textId="2FA77CDE" w:rsidR="00356541" w:rsidRPr="00CF650F" w:rsidRDefault="00CF650F" w:rsidP="00CF650F">
      <w:pPr>
        <w:spacing w:line="276" w:lineRule="auto"/>
        <w:ind w:left="360"/>
        <w:rPr>
          <w:rFonts w:cstheme="minorHAnsi"/>
          <w:b/>
          <w:bCs/>
          <w:color w:val="000000"/>
          <w:sz w:val="22"/>
          <w:szCs w:val="22"/>
        </w:rPr>
      </w:pPr>
      <w:r>
        <w:rPr>
          <w:rFonts w:cstheme="minorHAnsi"/>
          <w:b/>
          <w:bCs/>
          <w:color w:val="000000"/>
          <w:sz w:val="22"/>
          <w:szCs w:val="22"/>
          <w:lang w:val="en-US"/>
        </w:rPr>
        <w:t xml:space="preserve">MAA: </w:t>
      </w:r>
      <w:r w:rsidR="007F6035" w:rsidRPr="003B05AA">
        <w:rPr>
          <w:rFonts w:cstheme="minorHAnsi"/>
          <w:color w:val="000000"/>
          <w:sz w:val="22"/>
          <w:szCs w:val="22"/>
          <w:lang w:val="en-US"/>
        </w:rPr>
        <w:t>Mike Shepherd</w:t>
      </w:r>
      <w:r>
        <w:rPr>
          <w:rFonts w:cstheme="minorHAnsi"/>
          <w:b/>
          <w:bCs/>
          <w:color w:val="000000"/>
          <w:sz w:val="22"/>
          <w:szCs w:val="22"/>
        </w:rPr>
        <w:t xml:space="preserve"> – </w:t>
      </w:r>
      <w:r w:rsidR="0077672F" w:rsidRPr="003B05AA">
        <w:rPr>
          <w:rFonts w:cstheme="minorHAnsi"/>
          <w:color w:val="000000"/>
          <w:sz w:val="22"/>
          <w:szCs w:val="22"/>
          <w:lang w:val="en-US"/>
        </w:rPr>
        <w:t>Email:</w:t>
      </w:r>
      <w:r w:rsidR="0077672F" w:rsidRPr="003B05AA">
        <w:rPr>
          <w:rStyle w:val="apple-converted-space"/>
          <w:rFonts w:cstheme="minorHAnsi"/>
          <w:color w:val="000000"/>
          <w:sz w:val="22"/>
          <w:szCs w:val="22"/>
          <w:lang w:val="en-US"/>
        </w:rPr>
        <w:t> </w:t>
      </w:r>
      <w:hyperlink r:id="rId12" w:history="1">
        <w:r w:rsidR="007F6035" w:rsidRPr="003B05AA">
          <w:rPr>
            <w:rStyle w:val="Hyperlink"/>
            <w:rFonts w:cstheme="minorHAnsi"/>
            <w:sz w:val="22"/>
            <w:szCs w:val="22"/>
            <w:lang w:val="en-US"/>
          </w:rPr>
          <w:t>mike@maa.agency</w:t>
        </w:r>
      </w:hyperlink>
      <w:r>
        <w:rPr>
          <w:rFonts w:cstheme="minorHAnsi"/>
          <w:color w:val="000000"/>
          <w:sz w:val="22"/>
          <w:szCs w:val="22"/>
          <w:lang w:val="en-US"/>
        </w:rPr>
        <w:t xml:space="preserve">. </w:t>
      </w:r>
      <w:r w:rsidR="0077672F" w:rsidRPr="003B05AA">
        <w:rPr>
          <w:rFonts w:cstheme="minorHAnsi"/>
          <w:color w:val="000000"/>
          <w:sz w:val="22"/>
          <w:szCs w:val="22"/>
          <w:lang w:val="en-US"/>
        </w:rPr>
        <w:t xml:space="preserve">Tel: +44 (0) 23 9252 </w:t>
      </w:r>
      <w:r w:rsidRPr="003B05AA">
        <w:rPr>
          <w:rFonts w:cstheme="minorHAnsi"/>
          <w:color w:val="000000"/>
          <w:sz w:val="22"/>
          <w:szCs w:val="22"/>
          <w:lang w:val="en-US"/>
        </w:rPr>
        <w:t>2044.     </w:t>
      </w:r>
    </w:p>
    <w:p w14:paraId="31285796" w14:textId="77777777" w:rsidR="00E5446B" w:rsidRPr="004D31A2" w:rsidRDefault="00E5446B">
      <w:pPr>
        <w:spacing w:line="276" w:lineRule="auto"/>
        <w:ind w:left="360"/>
        <w:rPr>
          <w:rFonts w:ascii="Calibri" w:hAnsi="Calibri" w:cs="Calibri"/>
          <w:color w:val="000000"/>
          <w:sz w:val="22"/>
          <w:szCs w:val="22"/>
        </w:rPr>
      </w:pPr>
    </w:p>
    <w:sectPr w:rsidR="00E5446B" w:rsidRPr="004D31A2"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EDA7" w14:textId="77777777" w:rsidR="00054905" w:rsidRDefault="00054905" w:rsidP="002754A6">
      <w:r>
        <w:separator/>
      </w:r>
    </w:p>
  </w:endnote>
  <w:endnote w:type="continuationSeparator" w:id="0">
    <w:p w14:paraId="7ECD772D" w14:textId="77777777" w:rsidR="00054905" w:rsidRDefault="00054905" w:rsidP="002754A6">
      <w:r>
        <w:continuationSeparator/>
      </w:r>
    </w:p>
  </w:endnote>
  <w:endnote w:type="continuationNotice" w:id="1">
    <w:p w14:paraId="6A1997AC" w14:textId="77777777" w:rsidR="00054905" w:rsidRDefault="00054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C25B" w14:textId="77777777" w:rsidR="00054905" w:rsidRDefault="00054905" w:rsidP="002754A6">
      <w:r>
        <w:separator/>
      </w:r>
    </w:p>
  </w:footnote>
  <w:footnote w:type="continuationSeparator" w:id="0">
    <w:p w14:paraId="4A3C3311" w14:textId="77777777" w:rsidR="00054905" w:rsidRDefault="00054905" w:rsidP="002754A6">
      <w:r>
        <w:continuationSeparator/>
      </w:r>
    </w:p>
  </w:footnote>
  <w:footnote w:type="continuationNotice" w:id="1">
    <w:p w14:paraId="0307895C" w14:textId="77777777" w:rsidR="00054905" w:rsidRDefault="00054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4905"/>
    <w:rsid w:val="00056DD6"/>
    <w:rsid w:val="00060C74"/>
    <w:rsid w:val="00060E28"/>
    <w:rsid w:val="0006192C"/>
    <w:rsid w:val="00061ACF"/>
    <w:rsid w:val="00070EF7"/>
    <w:rsid w:val="000744C1"/>
    <w:rsid w:val="00075EE5"/>
    <w:rsid w:val="0008016A"/>
    <w:rsid w:val="00082952"/>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4AE7"/>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0DB7"/>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66870"/>
    <w:rsid w:val="00372A22"/>
    <w:rsid w:val="00374D52"/>
    <w:rsid w:val="00374EFB"/>
    <w:rsid w:val="00375E26"/>
    <w:rsid w:val="00375F59"/>
    <w:rsid w:val="00382BBD"/>
    <w:rsid w:val="00384096"/>
    <w:rsid w:val="00384E3D"/>
    <w:rsid w:val="00386C7E"/>
    <w:rsid w:val="00390133"/>
    <w:rsid w:val="00392A7D"/>
    <w:rsid w:val="00393B63"/>
    <w:rsid w:val="00395F2E"/>
    <w:rsid w:val="00396101"/>
    <w:rsid w:val="003973F3"/>
    <w:rsid w:val="003A0ACA"/>
    <w:rsid w:val="003A36D7"/>
    <w:rsid w:val="003A6A70"/>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1BDD"/>
    <w:rsid w:val="004756A6"/>
    <w:rsid w:val="00476D9A"/>
    <w:rsid w:val="00480447"/>
    <w:rsid w:val="00480954"/>
    <w:rsid w:val="00485EB7"/>
    <w:rsid w:val="00486796"/>
    <w:rsid w:val="004877D3"/>
    <w:rsid w:val="00487A8B"/>
    <w:rsid w:val="00491A2B"/>
    <w:rsid w:val="00492732"/>
    <w:rsid w:val="00493B24"/>
    <w:rsid w:val="00495D59"/>
    <w:rsid w:val="004A0767"/>
    <w:rsid w:val="004A24D0"/>
    <w:rsid w:val="004A4AFB"/>
    <w:rsid w:val="004A5371"/>
    <w:rsid w:val="004A585C"/>
    <w:rsid w:val="004A6247"/>
    <w:rsid w:val="004A7C45"/>
    <w:rsid w:val="004A7CB8"/>
    <w:rsid w:val="004B0F7E"/>
    <w:rsid w:val="004B21BF"/>
    <w:rsid w:val="004B56FE"/>
    <w:rsid w:val="004B7BE3"/>
    <w:rsid w:val="004B7DC7"/>
    <w:rsid w:val="004C38B8"/>
    <w:rsid w:val="004C4361"/>
    <w:rsid w:val="004C47DB"/>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340B"/>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1E3E"/>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0139"/>
    <w:rsid w:val="00703318"/>
    <w:rsid w:val="00704430"/>
    <w:rsid w:val="00705691"/>
    <w:rsid w:val="00711979"/>
    <w:rsid w:val="00713228"/>
    <w:rsid w:val="007150D3"/>
    <w:rsid w:val="0071634D"/>
    <w:rsid w:val="00716942"/>
    <w:rsid w:val="007204CD"/>
    <w:rsid w:val="0072517F"/>
    <w:rsid w:val="007262DF"/>
    <w:rsid w:val="007271D7"/>
    <w:rsid w:val="0073245F"/>
    <w:rsid w:val="007359A7"/>
    <w:rsid w:val="00736477"/>
    <w:rsid w:val="00737769"/>
    <w:rsid w:val="007422B9"/>
    <w:rsid w:val="00743804"/>
    <w:rsid w:val="00743DBA"/>
    <w:rsid w:val="0074514E"/>
    <w:rsid w:val="00760CA5"/>
    <w:rsid w:val="00761007"/>
    <w:rsid w:val="007750FC"/>
    <w:rsid w:val="0077672F"/>
    <w:rsid w:val="0078105C"/>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101"/>
    <w:rsid w:val="008653C0"/>
    <w:rsid w:val="00865708"/>
    <w:rsid w:val="00866553"/>
    <w:rsid w:val="0087452F"/>
    <w:rsid w:val="0087466E"/>
    <w:rsid w:val="00876410"/>
    <w:rsid w:val="0087780B"/>
    <w:rsid w:val="008809AE"/>
    <w:rsid w:val="00891683"/>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179C0"/>
    <w:rsid w:val="00920DED"/>
    <w:rsid w:val="00922222"/>
    <w:rsid w:val="00924B75"/>
    <w:rsid w:val="00926B3B"/>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0714"/>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650F"/>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B5365"/>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2413"/>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94DA0"/>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20169689">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8946">
      <w:bodyDiv w:val="1"/>
      <w:marLeft w:val="0"/>
      <w:marRight w:val="0"/>
      <w:marTop w:val="0"/>
      <w:marBottom w:val="0"/>
      <w:divBdr>
        <w:top w:val="none" w:sz="0" w:space="0" w:color="auto"/>
        <w:left w:val="none" w:sz="0" w:space="0" w:color="auto"/>
        <w:bottom w:val="none" w:sz="0" w:space="0" w:color="auto"/>
        <w:right w:val="none" w:sz="0" w:space="0" w:color="auto"/>
      </w:divBdr>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teyachtcover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dlmarinas.co.uk" TargetMode="External"/><Relationship Id="rId4" Type="http://schemas.openxmlformats.org/officeDocument/2006/relationships/settings" Target="settings.xml"/><Relationship Id="rId9" Type="http://schemas.openxmlformats.org/officeDocument/2006/relationships/hyperlink" Target="http://www.hamblepointmarina.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12</cp:revision>
  <cp:lastPrinted>2023-02-21T09:44:00Z</cp:lastPrinted>
  <dcterms:created xsi:type="dcterms:W3CDTF">2026-03-26T15:35:00Z</dcterms:created>
  <dcterms:modified xsi:type="dcterms:W3CDTF">2026-04-09T11:45:00Z</dcterms:modified>
</cp:coreProperties>
</file>