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1B32AA94" w:rsidR="001C1D36" w:rsidRPr="00473F06" w:rsidRDefault="001C1D36" w:rsidP="00473F06">
      <w:pPr>
        <w:spacing w:line="276" w:lineRule="auto"/>
        <w:rPr>
          <w:rFonts w:ascii="Calibri" w:hAnsi="Calibri" w:cs="Calibri"/>
          <w:b/>
          <w:bCs/>
        </w:rPr>
      </w:pPr>
      <w:r w:rsidRPr="00473F06">
        <w:rPr>
          <w:rFonts w:ascii="Calibri" w:hAnsi="Calibri" w:cs="Calibri"/>
          <w:b/>
          <w:bCs/>
        </w:rPr>
        <w:t>News Release</w:t>
      </w:r>
    </w:p>
    <w:p w14:paraId="04500935" w14:textId="77777777" w:rsidR="001C1D36" w:rsidRPr="00473F06" w:rsidRDefault="001C1D36" w:rsidP="00473F06">
      <w:pPr>
        <w:spacing w:line="276" w:lineRule="auto"/>
        <w:rPr>
          <w:rFonts w:ascii="Calibri" w:hAnsi="Calibri" w:cs="Calibri"/>
          <w:b/>
          <w:bCs/>
        </w:rPr>
      </w:pPr>
      <w:r w:rsidRPr="00473F06">
        <w:rPr>
          <w:rFonts w:ascii="Calibri" w:hAnsi="Calibri" w:cs="Calibri"/>
          <w:b/>
          <w:bCs/>
        </w:rPr>
        <w:t>For Immediate Release</w:t>
      </w:r>
    </w:p>
    <w:p w14:paraId="54C4CDAE" w14:textId="79AF1148" w:rsidR="007409E5" w:rsidRPr="00473F06" w:rsidRDefault="00473F06" w:rsidP="00473F06">
      <w:pPr>
        <w:spacing w:line="276" w:lineRule="auto"/>
        <w:rPr>
          <w:rFonts w:ascii="Calibri" w:hAnsi="Calibri" w:cs="Calibri"/>
          <w:b/>
          <w:bCs/>
        </w:rPr>
      </w:pPr>
      <w:r w:rsidRPr="00473F06">
        <w:rPr>
          <w:rFonts w:ascii="Calibri" w:hAnsi="Calibri" w:cs="Calibri"/>
          <w:b/>
          <w:bCs/>
        </w:rPr>
        <w:t>4 December</w:t>
      </w:r>
      <w:r w:rsidR="001C1D36" w:rsidRPr="00473F06">
        <w:rPr>
          <w:rFonts w:ascii="Calibri" w:hAnsi="Calibri" w:cs="Calibri"/>
          <w:b/>
          <w:bCs/>
        </w:rPr>
        <w:t xml:space="preserve"> 202</w:t>
      </w:r>
      <w:r w:rsidR="009402FD" w:rsidRPr="00473F06">
        <w:rPr>
          <w:rFonts w:ascii="Calibri" w:hAnsi="Calibri" w:cs="Calibri"/>
          <w:b/>
          <w:bCs/>
        </w:rPr>
        <w:t>5</w:t>
      </w:r>
    </w:p>
    <w:p w14:paraId="07158FE7" w14:textId="77777777" w:rsidR="00473F06" w:rsidRPr="00473F06" w:rsidRDefault="00473F06" w:rsidP="00473F06">
      <w:pPr>
        <w:pStyle w:val="NormalWeb"/>
        <w:spacing w:after="240" w:afterAutospacing="0" w:line="276" w:lineRule="auto"/>
        <w:jc w:val="center"/>
        <w:rPr>
          <w:rFonts w:ascii="Calibri" w:hAnsi="Calibri" w:cs="Calibri"/>
        </w:rPr>
      </w:pPr>
      <w:r w:rsidRPr="00473F06">
        <w:rPr>
          <w:rFonts w:ascii="Calibri" w:hAnsi="Calibri" w:cs="Calibri"/>
          <w:b/>
          <w:bCs/>
        </w:rPr>
        <w:t>Ocean Village berth holders win MDL Dock &amp; Discover luxury Thailand charter</w:t>
      </w:r>
    </w:p>
    <w:p w14:paraId="613E3A0D"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MDL Marinas is delighted to announce Matt and Becky Cook, long-standing berth holders at Ocean Village Marina in Southampton, as the Tier 3 winners of the 2025 Dock &amp; Discover campaign. They have secured the top prize – a 7-day luxury bareboat or skippered catamaran charter for two in Phuket, Thailand, delivered in partnership with Fairview Sailing and Simpson Yacht Charter, along with a £1,500 flight contribution.</w:t>
      </w:r>
    </w:p>
    <w:p w14:paraId="2B45FA36"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Running throughout the summer season, Dock &amp; Discover encouraged berth holders and visitors to make the most of MDL’s network of 18 UK marinas by rewarding overnight stays. Each stay earned a stamp, unlocking opportunities to win prizes across three tiers, culminating in the grand Tier 3 draw.</w:t>
      </w:r>
    </w:p>
    <w:p w14:paraId="369CBC44" w14:textId="77777777" w:rsidR="00473F06" w:rsidRPr="00473F06" w:rsidRDefault="00473F06" w:rsidP="00473F06">
      <w:pPr>
        <w:pStyle w:val="Heading3"/>
        <w:spacing w:after="80" w:line="276" w:lineRule="auto"/>
        <w:rPr>
          <w:rFonts w:ascii="Calibri" w:hAnsi="Calibri" w:cs="Calibri"/>
          <w:b/>
          <w:bCs/>
          <w:color w:val="auto"/>
        </w:rPr>
      </w:pPr>
      <w:r w:rsidRPr="00473F06">
        <w:rPr>
          <w:rFonts w:ascii="Calibri" w:hAnsi="Calibri" w:cs="Calibri"/>
          <w:b/>
          <w:bCs/>
          <w:color w:val="auto"/>
        </w:rPr>
        <w:t>Cruising with Dock &amp; Discover</w:t>
      </w:r>
    </w:p>
    <w:p w14:paraId="35EF3D98"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Reflecting on their Dock &amp; Discover experience, the Cooks’ comment: “Entering the Dock &amp; Discover competition was an easy decision as we enjoy cruising around the various MDL marinas, especially over the summer months where we often bump into friends who are also MDL Marinas’ berth holders.</w:t>
      </w:r>
    </w:p>
    <w:p w14:paraId="361AAF3C"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“We are over the moon to be selected as the winners of the top prize and can’t wait for our trip to Thailand! Thanks MDL Marinas and Fairview Sailing.”</w:t>
      </w:r>
    </w:p>
    <w:p w14:paraId="38C1616C"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As active cruisers within the network, Matt and Becky say the variety of locations is one of the things they enjoy most. “We love that each MDL marina has its own personality and with just a short cruise to Port Hamble or Shamrock Quay we can enjoy a completely different experience but with the same friendly MDL welcome.”</w:t>
      </w:r>
    </w:p>
    <w:p w14:paraId="6DC330CB"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Having called Ocean Village their boating home for more than a decade, the couple also shared what keeps them anchored to the marina. “Ocean Village Marina has been our boating home for over ten years, the location is perfect for us and there is always plenty to do in the area. Despite being in the centre of Southampton, it’s extremely peaceful and the team is second to none.”</w:t>
      </w:r>
    </w:p>
    <w:p w14:paraId="7433BD4D"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lastRenderedPageBreak/>
        <w:t>“We’re absolutely thrilled for Matt and Becky,” adds Lauren Bright, Marina Manager at Ocean Village. “They’re a much-loved part of our Ocean Village community, and it’s fantastic to see their enthusiasm for cruising rewarded with such an incredible experience.</w:t>
      </w:r>
    </w:p>
    <w:p w14:paraId="7FF21FFD" w14:textId="77777777" w:rsidR="00473F06"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“Dock &amp; Discover is all about encouraging boaters to enjoy our wider network, and Matt and Becky really embraced that spirit. We can’t wait to hear all about their adventure in Thailand.”</w:t>
      </w:r>
    </w:p>
    <w:p w14:paraId="38ECBB2E" w14:textId="1E5B3368" w:rsidR="007409E5" w:rsidRPr="00473F06" w:rsidRDefault="00473F06" w:rsidP="00473F06">
      <w:pPr>
        <w:pStyle w:val="NormalWeb"/>
        <w:spacing w:after="240" w:afterAutospacing="0" w:line="276" w:lineRule="auto"/>
        <w:rPr>
          <w:rFonts w:ascii="Calibri" w:hAnsi="Calibri" w:cs="Calibri"/>
        </w:rPr>
      </w:pPr>
      <w:r w:rsidRPr="00473F06">
        <w:rPr>
          <w:rFonts w:ascii="Calibri" w:hAnsi="Calibri" w:cs="Calibri"/>
        </w:rPr>
        <w:t>For more information about MDL’s 18 premium UK marinas, visit:</w:t>
      </w:r>
      <w:r w:rsidRPr="00473F06">
        <w:rPr>
          <w:rStyle w:val="apple-converted-space"/>
          <w:rFonts w:ascii="Calibri" w:hAnsi="Calibri" w:cs="Calibri"/>
        </w:rPr>
        <w:t> </w:t>
      </w:r>
      <w:hyperlink r:id="rId8" w:history="1">
        <w:r w:rsidRPr="00DA14DF">
          <w:rPr>
            <w:rStyle w:val="Hyperlink"/>
            <w:rFonts w:ascii="Calibri" w:hAnsi="Calibri" w:cs="Calibri"/>
          </w:rPr>
          <w:t>w</w:t>
        </w:r>
        <w:r w:rsidRPr="00DA14DF">
          <w:rPr>
            <w:rStyle w:val="Hyperlink"/>
            <w:rFonts w:ascii="Calibri" w:hAnsi="Calibri" w:cs="Calibri"/>
          </w:rPr>
          <w:t>ww.mdlmarinas.co.uk</w:t>
        </w:r>
      </w:hyperlink>
    </w:p>
    <w:p w14:paraId="45104632" w14:textId="77777777" w:rsidR="00473F06" w:rsidRDefault="007409E5" w:rsidP="00473F06">
      <w:pPr>
        <w:spacing w:line="276" w:lineRule="auto"/>
        <w:rPr>
          <w:rFonts w:ascii="Calibri" w:hAnsi="Calibri" w:cs="Calibri"/>
          <w:b/>
          <w:bCs/>
        </w:rPr>
      </w:pPr>
      <w:r w:rsidRPr="00473F06">
        <w:rPr>
          <w:rFonts w:ascii="Calibri" w:hAnsi="Calibri" w:cs="Calibri"/>
          <w:b/>
          <w:bCs/>
        </w:rPr>
        <w:t>ENDS</w:t>
      </w:r>
    </w:p>
    <w:p w14:paraId="6D82EB35" w14:textId="77777777" w:rsidR="00473F06" w:rsidRDefault="00473F06" w:rsidP="00473F06">
      <w:pPr>
        <w:spacing w:line="276" w:lineRule="auto"/>
        <w:rPr>
          <w:rFonts w:ascii="Calibri" w:hAnsi="Calibri" w:cs="Calibri"/>
          <w:b/>
          <w:bCs/>
        </w:rPr>
      </w:pPr>
    </w:p>
    <w:p w14:paraId="610895F6" w14:textId="1C61C302" w:rsidR="0077672F" w:rsidRPr="00473F06" w:rsidRDefault="0077672F" w:rsidP="00473F06">
      <w:pPr>
        <w:spacing w:line="276" w:lineRule="auto"/>
        <w:rPr>
          <w:rFonts w:ascii="Calibri" w:hAnsi="Calibri" w:cs="Calibri"/>
          <w:b/>
          <w:bCs/>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31285796" w14:textId="38FE24EA" w:rsidR="00E5446B" w:rsidRPr="00473F06" w:rsidRDefault="0077672F" w:rsidP="00473F06">
      <w:pPr>
        <w:spacing w:line="276" w:lineRule="auto"/>
        <w:rPr>
          <w:rFonts w:cstheme="minorHAnsi"/>
          <w:color w:val="000000"/>
          <w:sz w:val="22"/>
          <w:szCs w:val="22"/>
        </w:rPr>
      </w:pPr>
      <w:r w:rsidRPr="00473F06">
        <w:rPr>
          <w:rFonts w:cstheme="minorHAnsi"/>
          <w:color w:val="000000"/>
          <w:sz w:val="22"/>
          <w:szCs w:val="22"/>
          <w:lang w:val="en-US"/>
        </w:rPr>
        <w:t>For media enquiries, product tests or hi-res images:</w:t>
      </w:r>
      <w:r w:rsidR="00473F06">
        <w:rPr>
          <w:rFonts w:cstheme="minorHAnsi"/>
          <w:color w:val="000000"/>
          <w:sz w:val="22"/>
          <w:szCs w:val="22"/>
        </w:rPr>
        <w:t xml:space="preserve"> </w:t>
      </w:r>
      <w:r w:rsidR="007F6035" w:rsidRPr="00473F06">
        <w:rPr>
          <w:sz w:val="22"/>
          <w:szCs w:val="22"/>
        </w:rPr>
        <w:t>Mike Shepherd</w:t>
      </w:r>
      <w:r w:rsidR="00473F06">
        <w:rPr>
          <w:sz w:val="22"/>
          <w:szCs w:val="22"/>
        </w:rPr>
        <w:t xml:space="preserve"> –</w:t>
      </w:r>
      <w:r w:rsidR="00473F06" w:rsidRPr="00473F06">
        <w:rPr>
          <w:sz w:val="22"/>
          <w:szCs w:val="22"/>
        </w:rPr>
        <w:t xml:space="preserve"> </w:t>
      </w:r>
      <w:r w:rsidR="00473F06">
        <w:rPr>
          <w:sz w:val="22"/>
          <w:szCs w:val="22"/>
        </w:rPr>
        <w:t>e</w:t>
      </w:r>
      <w:r w:rsidRPr="00473F06">
        <w:rPr>
          <w:sz w:val="22"/>
          <w:szCs w:val="22"/>
        </w:rPr>
        <w:t>mail: </w:t>
      </w:r>
      <w:hyperlink r:id="rId11" w:history="1">
        <w:r w:rsidR="00473F06" w:rsidRPr="00DA14DF">
          <w:rPr>
            <w:rStyle w:val="Hyperlink"/>
            <w:sz w:val="22"/>
            <w:szCs w:val="22"/>
          </w:rPr>
          <w:t>mike@maa.agency</w:t>
        </w:r>
      </w:hyperlink>
      <w:r w:rsidR="00473F06" w:rsidRPr="00473F06">
        <w:rPr>
          <w:sz w:val="22"/>
          <w:szCs w:val="22"/>
        </w:rPr>
        <w:t xml:space="preserve">, </w:t>
      </w:r>
      <w:proofErr w:type="spellStart"/>
      <w:r w:rsidR="00473F06" w:rsidRPr="00473F06">
        <w:rPr>
          <w:sz w:val="22"/>
          <w:szCs w:val="22"/>
        </w:rPr>
        <w:t>t</w:t>
      </w:r>
      <w:r w:rsidRPr="00473F06">
        <w:rPr>
          <w:sz w:val="22"/>
          <w:szCs w:val="22"/>
        </w:rPr>
        <w:t>el</w:t>
      </w:r>
      <w:proofErr w:type="spellEnd"/>
      <w:r w:rsidRPr="00473F06">
        <w:rPr>
          <w:sz w:val="22"/>
          <w:szCs w:val="22"/>
        </w:rPr>
        <w:t>: +44 (0) 23 9252</w:t>
      </w:r>
      <w:r w:rsidR="00473F06">
        <w:rPr>
          <w:sz w:val="22"/>
          <w:szCs w:val="22"/>
        </w:rPr>
        <w:t xml:space="preserve"> 2044 </w:t>
      </w:r>
    </w:p>
    <w:sectPr w:rsidR="00E5446B" w:rsidRPr="00473F06"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1DCF" w14:textId="77777777" w:rsidR="003D2516" w:rsidRDefault="003D2516" w:rsidP="002754A6">
      <w:r>
        <w:separator/>
      </w:r>
    </w:p>
  </w:endnote>
  <w:endnote w:type="continuationSeparator" w:id="0">
    <w:p w14:paraId="1DC4B6CB" w14:textId="77777777" w:rsidR="003D2516" w:rsidRDefault="003D2516" w:rsidP="002754A6">
      <w:r>
        <w:continuationSeparator/>
      </w:r>
    </w:p>
  </w:endnote>
  <w:endnote w:type="continuationNotice" w:id="1">
    <w:p w14:paraId="46EDA591" w14:textId="77777777" w:rsidR="003D2516" w:rsidRDefault="003D2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519E" w14:textId="77777777" w:rsidR="003D2516" w:rsidRDefault="003D2516" w:rsidP="002754A6">
      <w:r>
        <w:separator/>
      </w:r>
    </w:p>
  </w:footnote>
  <w:footnote w:type="continuationSeparator" w:id="0">
    <w:p w14:paraId="6444B90A" w14:textId="77777777" w:rsidR="003D2516" w:rsidRDefault="003D2516" w:rsidP="002754A6">
      <w:r>
        <w:continuationSeparator/>
      </w:r>
    </w:p>
  </w:footnote>
  <w:footnote w:type="continuationNotice" w:id="1">
    <w:p w14:paraId="0F127E40" w14:textId="77777777" w:rsidR="003D2516" w:rsidRDefault="003D2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5B5"/>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467F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165"/>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40F7"/>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097"/>
    <w:rsid w:val="003C35A4"/>
    <w:rsid w:val="003C5BAF"/>
    <w:rsid w:val="003D2516"/>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3F06"/>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D87"/>
    <w:rsid w:val="005B6F3B"/>
    <w:rsid w:val="005C06DD"/>
    <w:rsid w:val="005C2EEF"/>
    <w:rsid w:val="005C34DB"/>
    <w:rsid w:val="005C430F"/>
    <w:rsid w:val="005D07AC"/>
    <w:rsid w:val="005D0D8C"/>
    <w:rsid w:val="005D355C"/>
    <w:rsid w:val="005D62D0"/>
    <w:rsid w:val="005E0110"/>
    <w:rsid w:val="005E17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5F36"/>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09E5"/>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540E"/>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0956"/>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5AF3"/>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329"/>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73F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473F0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33579982">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880635627">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cp:revision>
  <cp:lastPrinted>2023-02-21T09:44:00Z</cp:lastPrinted>
  <dcterms:created xsi:type="dcterms:W3CDTF">2025-12-03T10:32:00Z</dcterms:created>
  <dcterms:modified xsi:type="dcterms:W3CDTF">2025-12-03T10:32:00Z</dcterms:modified>
</cp:coreProperties>
</file>