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B9F7" w14:textId="04B846E7" w:rsidR="001C1D36" w:rsidRPr="00CF650F" w:rsidRDefault="001C1D36" w:rsidP="00CF650F">
      <w:pPr>
        <w:spacing w:line="276" w:lineRule="auto"/>
        <w:rPr>
          <w:rFonts w:cstheme="minorHAnsi"/>
          <w:b/>
          <w:bCs/>
        </w:rPr>
      </w:pPr>
      <w:r w:rsidRPr="00CF650F">
        <w:rPr>
          <w:rFonts w:cstheme="minorHAnsi"/>
          <w:b/>
          <w:bCs/>
        </w:rPr>
        <w:t>News Release</w:t>
      </w:r>
    </w:p>
    <w:p w14:paraId="04500935" w14:textId="77777777" w:rsidR="001C1D36" w:rsidRPr="00CF650F" w:rsidRDefault="001C1D36" w:rsidP="00CF650F">
      <w:pPr>
        <w:spacing w:line="276" w:lineRule="auto"/>
        <w:rPr>
          <w:rFonts w:cstheme="minorHAnsi"/>
          <w:b/>
          <w:bCs/>
        </w:rPr>
      </w:pPr>
      <w:r w:rsidRPr="00CF650F">
        <w:rPr>
          <w:rFonts w:cstheme="minorHAnsi"/>
          <w:b/>
          <w:bCs/>
        </w:rPr>
        <w:t>For Immediate Release</w:t>
      </w:r>
    </w:p>
    <w:p w14:paraId="3921EA1D" w14:textId="585C48A6" w:rsidR="001C1D36" w:rsidRPr="00CF650F" w:rsidRDefault="00CF650F" w:rsidP="00CF650F">
      <w:pPr>
        <w:spacing w:line="276" w:lineRule="auto"/>
        <w:rPr>
          <w:rFonts w:cstheme="minorHAnsi"/>
          <w:b/>
          <w:bCs/>
        </w:rPr>
      </w:pPr>
      <w:r>
        <w:rPr>
          <w:rFonts w:cstheme="minorHAnsi"/>
          <w:b/>
          <w:bCs/>
        </w:rPr>
        <w:t>1</w:t>
      </w:r>
      <w:r w:rsidR="00366870">
        <w:rPr>
          <w:rFonts w:cstheme="minorHAnsi"/>
          <w:b/>
          <w:bCs/>
        </w:rPr>
        <w:t>6</w:t>
      </w:r>
      <w:r>
        <w:rPr>
          <w:rFonts w:cstheme="minorHAnsi"/>
          <w:b/>
          <w:bCs/>
        </w:rPr>
        <w:t xml:space="preserve"> December</w:t>
      </w:r>
      <w:r w:rsidR="001C1D36" w:rsidRPr="00CF650F">
        <w:rPr>
          <w:rFonts w:cstheme="minorHAnsi"/>
          <w:b/>
          <w:bCs/>
        </w:rPr>
        <w:t xml:space="preserve"> 202</w:t>
      </w:r>
      <w:r w:rsidR="009402FD" w:rsidRPr="00CF650F">
        <w:rPr>
          <w:rFonts w:cstheme="minorHAnsi"/>
          <w:b/>
          <w:bCs/>
        </w:rPr>
        <w:t>5</w:t>
      </w:r>
    </w:p>
    <w:p w14:paraId="23F4C141" w14:textId="77777777" w:rsidR="00A911AE" w:rsidRPr="00CF650F" w:rsidRDefault="00A911AE" w:rsidP="00CF650F">
      <w:pPr>
        <w:spacing w:line="276" w:lineRule="auto"/>
        <w:rPr>
          <w:rFonts w:cstheme="minorHAnsi"/>
        </w:rPr>
      </w:pPr>
    </w:p>
    <w:p w14:paraId="2B4C1B3B" w14:textId="77777777" w:rsidR="00CF650F" w:rsidRPr="00CF650F" w:rsidRDefault="00CF650F" w:rsidP="00CF650F">
      <w:pPr>
        <w:pStyle w:val="NormalWeb"/>
        <w:spacing w:before="0" w:beforeAutospacing="0" w:after="0" w:afterAutospacing="0" w:line="276" w:lineRule="auto"/>
        <w:jc w:val="center"/>
        <w:rPr>
          <w:rFonts w:asciiTheme="minorHAnsi" w:hAnsiTheme="minorHAnsi" w:cstheme="minorHAnsi"/>
        </w:rPr>
      </w:pPr>
      <w:r w:rsidRPr="00CF650F">
        <w:rPr>
          <w:rFonts w:asciiTheme="minorHAnsi" w:hAnsiTheme="minorHAnsi" w:cstheme="minorHAnsi"/>
          <w:b/>
          <w:bCs/>
        </w:rPr>
        <w:t>MDL Marinas continues major investment across its UK marina network</w:t>
      </w:r>
    </w:p>
    <w:p w14:paraId="21BD666D"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7A0F1BB7"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MDL Marinas has confirmed a further £6.35 million of investment during the 2025/26 berthing season, reinforcing its long-term commitment to improving facilities, infrastructure and services across its UK marina network.</w:t>
      </w:r>
    </w:p>
    <w:p w14:paraId="30A73D8F"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1AF15704" w14:textId="2315FF2D"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Between April and October, MDL invested £4.38 million, with an additional £1.9</w:t>
      </w:r>
      <w:r w:rsidR="00F94DA0">
        <w:rPr>
          <w:rFonts w:asciiTheme="minorHAnsi" w:hAnsiTheme="minorHAnsi" w:cstheme="minorHAnsi"/>
        </w:rPr>
        <w:t>7</w:t>
      </w:r>
      <w:r w:rsidRPr="00CF650F">
        <w:rPr>
          <w:rFonts w:asciiTheme="minorHAnsi" w:hAnsiTheme="minorHAnsi" w:cstheme="minorHAnsi"/>
        </w:rPr>
        <w:t xml:space="preserve"> million already committed for completion by year-end. These works form part of the company’s wider £40 million, five-year investment plan, designed to enhance marina operations, support berth holders and tenants, and ensure the network remains fit for the future.</w:t>
      </w:r>
    </w:p>
    <w:p w14:paraId="37A3F38B"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27C2F317"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This season’s investment spans a broad range of improvements, from upgrading customer facilities and modernising operational equipment to strengthening quay walls and delivering sustainability and technology enhancements.</w:t>
      </w:r>
    </w:p>
    <w:p w14:paraId="7CF479CA"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49F142AD"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Key areas of investment</w:t>
      </w:r>
    </w:p>
    <w:p w14:paraId="4797D046"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261DD6B6"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Berth holder facilities – £341,906</w:t>
      </w:r>
      <w:r w:rsidRPr="00CF650F">
        <w:rPr>
          <w:rFonts w:asciiTheme="minorHAnsi" w:hAnsiTheme="minorHAnsi" w:cstheme="minorHAnsi"/>
        </w:rPr>
        <w:br/>
        <w:t>Refurbishment works, including significant upgrades at Hamble Point Marina, continue MDL’s focus on improving customer comfort and convenience.</w:t>
      </w:r>
    </w:p>
    <w:p w14:paraId="61C2D051"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09BEA937"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Dredging – £174,482 spent; £822,620 committed</w:t>
      </w:r>
      <w:r w:rsidRPr="00CF650F">
        <w:rPr>
          <w:rFonts w:asciiTheme="minorHAnsi" w:hAnsiTheme="minorHAnsi" w:cstheme="minorHAnsi"/>
          <w:b/>
          <w:bCs/>
        </w:rPr>
        <w:br/>
      </w:r>
      <w:r w:rsidRPr="00CF650F">
        <w:rPr>
          <w:rFonts w:asciiTheme="minorHAnsi" w:hAnsiTheme="minorHAnsi" w:cstheme="minorHAnsi"/>
        </w:rPr>
        <w:t>Ongoing dredging across several marinas supports safe navigation and maintains reliable access for a wide variety of vessels.</w:t>
      </w:r>
    </w:p>
    <w:p w14:paraId="726E6B22"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1110F47C"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Operational equipment – £187,309 spent; £57,401 committed</w:t>
      </w:r>
      <w:r w:rsidRPr="00CF650F">
        <w:rPr>
          <w:rFonts w:asciiTheme="minorHAnsi" w:hAnsiTheme="minorHAnsi" w:cstheme="minorHAnsi"/>
        </w:rPr>
        <w:br/>
        <w:t>Key investments include dry stack improvements and a new fuel tank facility at Sparkes Marina in Hayling Island, telehandler replacements at Hamble Point and Saxon Wharf in Southampton, and pump-out and fuel infrastructure upgrades at Penton Hook Marina on the Thames.</w:t>
      </w:r>
    </w:p>
    <w:p w14:paraId="527FF9B6"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129B8B98" w14:textId="43364CB2"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lastRenderedPageBreak/>
        <w:t>Infrastructure upgrades – £805,878 spent; £186,994 committed</w:t>
      </w:r>
      <w:r w:rsidRPr="00CF650F">
        <w:rPr>
          <w:rFonts w:asciiTheme="minorHAnsi" w:hAnsiTheme="minorHAnsi" w:cstheme="minorHAnsi"/>
          <w:b/>
          <w:bCs/>
        </w:rPr>
        <w:br/>
      </w:r>
      <w:r w:rsidRPr="00CF650F">
        <w:rPr>
          <w:rFonts w:asciiTheme="minorHAnsi" w:hAnsiTheme="minorHAnsi" w:cstheme="minorHAnsi"/>
        </w:rPr>
        <w:t>Major works include the redesign of the marina office at Hamble Point, the expansion of the marina office at Northney on Hayling Island, roof repairs at Queen Anne’s Battery, Plymouth</w:t>
      </w:r>
      <w:r w:rsidR="0078105C">
        <w:rPr>
          <w:rFonts w:asciiTheme="minorHAnsi" w:hAnsiTheme="minorHAnsi" w:cstheme="minorHAnsi"/>
        </w:rPr>
        <w:t>,</w:t>
      </w:r>
      <w:r w:rsidRPr="00CF650F">
        <w:rPr>
          <w:rFonts w:asciiTheme="minorHAnsi" w:hAnsiTheme="minorHAnsi" w:cstheme="minorHAnsi"/>
        </w:rPr>
        <w:t xml:space="preserve"> and the stabilisation of the entrance road and creek at Bray Marina in Windsor. </w:t>
      </w:r>
    </w:p>
    <w:p w14:paraId="7446FCD7"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625EADE7"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Pontoon and quay wall enhancements – £2,063,353 spent; £398,965 committed</w:t>
      </w:r>
      <w:r w:rsidRPr="00CF650F">
        <w:rPr>
          <w:rFonts w:asciiTheme="minorHAnsi" w:hAnsiTheme="minorHAnsi" w:cstheme="minorHAnsi"/>
        </w:rPr>
        <w:br/>
        <w:t>This investment has seen extensive pontoon replacement and re-decking at Saxon Wharf, Shamrock Quay and Hamble Point in Southampton, Woolverstone Marina in Ipswich, and Penton Hook and Bray on the Thames, alongside quay wall reconstruction at Sparkes Marina, with upcoming repair works scheduled to the quay wall at Cobb’s Quay in Poole. </w:t>
      </w:r>
    </w:p>
    <w:p w14:paraId="6542630A" w14:textId="77777777" w:rsidR="00CF650F" w:rsidRPr="00CF650F" w:rsidRDefault="00CF650F" w:rsidP="00CF650F">
      <w:pPr>
        <w:spacing w:line="276" w:lineRule="auto"/>
        <w:rPr>
          <w:rFonts w:cstheme="minorHAnsi"/>
        </w:rPr>
      </w:pPr>
    </w:p>
    <w:p w14:paraId="3EDE5498"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Further pontoon and redecking enhancements are planned at Penton Hook, Hamble Point, Mercury, Northney and Queen Anne’s Battery marinas, with new fuel pontoons and fuel storage facilities also being delivered at Penton Hook and Northney marinas.</w:t>
      </w:r>
    </w:p>
    <w:p w14:paraId="72601C83"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6C32D0DD"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Sustainability initiatives – £52,303 spent; £86,653 committed</w:t>
      </w:r>
      <w:r w:rsidRPr="00CF650F">
        <w:rPr>
          <w:rFonts w:asciiTheme="minorHAnsi" w:hAnsiTheme="minorHAnsi" w:cstheme="minorHAnsi"/>
        </w:rPr>
        <w:br/>
        <w:t>MDL continues to expand its photovoltaic capacity, with a 1,018 KWP solar installation at Queen Anne’s Battery and further solar investment committed at Saxon Wharf.</w:t>
      </w:r>
    </w:p>
    <w:p w14:paraId="7483911D"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7662F5DA"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Technology upgrades – £163,753 spent; £47,507 committed</w:t>
      </w:r>
      <w:r w:rsidRPr="00CF650F">
        <w:rPr>
          <w:rFonts w:asciiTheme="minorHAnsi" w:hAnsiTheme="minorHAnsi" w:cstheme="minorHAnsi"/>
        </w:rPr>
        <w:br/>
        <w:t>Ongoing improvements to customer connectivity continue across several sites, including enhanced WiFi infrastructure at Mercury, Cobb’s Quay, Penton Hook, Brixham, Queen Anne’s Battery and Torquay Marina.</w:t>
      </w:r>
    </w:p>
    <w:p w14:paraId="4D7E90D3"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0B86C666"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Commenting on the investment programme, Tim Mayer, Sales and Marketing Director at MDL Marinas, says: “Our priority is to keep investing in the areas that matter most to our berth holders and tenants. This year’s programme reflects that focus, with improvements across pontoons, infrastructure, sustainability and customer facilities. These aren’t headline projects for the sake of it – they are practical upgrades that enhance day-to-day experience across the whole network.”</w:t>
      </w:r>
    </w:p>
    <w:p w14:paraId="4C75DF11"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60FB68DD"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“With our £40 million, five-year investment plan well under way, we’re committed to ensuring our marinas remain safe, modern and enjoyable places to spend time, both now and in the years ahead.”</w:t>
      </w:r>
    </w:p>
    <w:p w14:paraId="27F2D063"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2931213C"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lastRenderedPageBreak/>
        <w:t>Looking ahead</w:t>
      </w:r>
    </w:p>
    <w:p w14:paraId="5CD4C845"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6A13F839"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As MDL enters the next phase of its multi-year investment strategy, further projects are planned across the estate including additional sustainability initiatives, improved customer services and continued renewal of critical infrastructure.</w:t>
      </w:r>
    </w:p>
    <w:p w14:paraId="1B2697E6"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329E0954" w14:textId="338AB36B"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xml:space="preserve">For more information about MDL Marinas and its investment programme, please visit: </w:t>
      </w:r>
      <w:hyperlink r:id="rId8" w:history="1">
        <w:r w:rsidRPr="00DA14DF">
          <w:rPr>
            <w:rStyle w:val="Hyperlink"/>
            <w:rFonts w:asciiTheme="minorHAnsi" w:hAnsiTheme="minorHAnsi" w:cstheme="minorHAnsi"/>
          </w:rPr>
          <w:t>www.mdlmarinas.co.uk</w:t>
        </w:r>
      </w:hyperlink>
    </w:p>
    <w:p w14:paraId="73D8ACE3"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rPr>
        <w:t> </w:t>
      </w:r>
    </w:p>
    <w:p w14:paraId="5A6D6458" w14:textId="77777777" w:rsidR="00CF650F" w:rsidRPr="00CF650F" w:rsidRDefault="00CF650F" w:rsidP="00CF650F">
      <w:pPr>
        <w:pStyle w:val="NormalWeb"/>
        <w:spacing w:before="0" w:beforeAutospacing="0" w:after="0" w:afterAutospacing="0" w:line="276" w:lineRule="auto"/>
        <w:rPr>
          <w:rFonts w:asciiTheme="minorHAnsi" w:hAnsiTheme="minorHAnsi" w:cstheme="minorHAnsi"/>
        </w:rPr>
      </w:pPr>
      <w:r w:rsidRPr="00CF650F">
        <w:rPr>
          <w:rFonts w:asciiTheme="minorHAnsi" w:hAnsiTheme="minorHAnsi" w:cstheme="minorHAns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MDL Marinas Group is 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is able to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0E39A01" w14:textId="2FA77CDE" w:rsidR="00356541" w:rsidRPr="00CF650F" w:rsidRDefault="00CF650F" w:rsidP="00CF650F">
      <w:pPr>
        <w:spacing w:line="276" w:lineRule="auto"/>
        <w:ind w:left="360"/>
        <w:rPr>
          <w:rFonts w:cstheme="minorHAnsi"/>
          <w:b/>
          <w:bCs/>
          <w:color w:val="000000"/>
          <w:sz w:val="22"/>
          <w:szCs w:val="22"/>
        </w:rPr>
      </w:pPr>
      <w:r>
        <w:rPr>
          <w:rFonts w:cstheme="minorHAnsi"/>
          <w:b/>
          <w:bCs/>
          <w:color w:val="000000"/>
          <w:sz w:val="22"/>
          <w:szCs w:val="22"/>
          <w:lang w:val="en-US"/>
        </w:rPr>
        <w:t xml:space="preserve">MAA: </w:t>
      </w:r>
      <w:r w:rsidR="007F6035" w:rsidRPr="003B05AA">
        <w:rPr>
          <w:rFonts w:cstheme="minorHAnsi"/>
          <w:color w:val="000000"/>
          <w:sz w:val="22"/>
          <w:szCs w:val="22"/>
          <w:lang w:val="en-US"/>
        </w:rPr>
        <w:t>Mike Shepherd</w:t>
      </w:r>
      <w:r>
        <w:rPr>
          <w:rFonts w:cstheme="minorHAnsi"/>
          <w:b/>
          <w:bCs/>
          <w:color w:val="000000"/>
          <w:sz w:val="22"/>
          <w:szCs w:val="22"/>
        </w:rPr>
        <w:t xml:space="preserve"> – </w:t>
      </w:r>
      <w:r w:rsidR="0077672F" w:rsidRPr="003B05AA">
        <w:rPr>
          <w:rFonts w:cstheme="minorHAnsi"/>
          <w:color w:val="000000"/>
          <w:sz w:val="22"/>
          <w:szCs w:val="22"/>
          <w:lang w:val="en-US"/>
        </w:rPr>
        <w:t>Email:</w:t>
      </w:r>
      <w:r w:rsidR="0077672F"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Pr>
          <w:rFonts w:cstheme="minorHAnsi"/>
          <w:color w:val="000000"/>
          <w:sz w:val="22"/>
          <w:szCs w:val="22"/>
          <w:lang w:val="en-US"/>
        </w:rPr>
        <w:t xml:space="preserve">. </w:t>
      </w:r>
      <w:r w:rsidR="0077672F" w:rsidRPr="003B05AA">
        <w:rPr>
          <w:rFonts w:cstheme="minorHAnsi"/>
          <w:color w:val="000000"/>
          <w:sz w:val="22"/>
          <w:szCs w:val="22"/>
          <w:lang w:val="en-US"/>
        </w:rPr>
        <w:t xml:space="preserve">Tel: +44 (0) 23 9252 </w:t>
      </w:r>
      <w:r w:rsidRPr="003B05AA">
        <w:rPr>
          <w:rFonts w:cstheme="minorHAnsi"/>
          <w:color w:val="000000"/>
          <w:sz w:val="22"/>
          <w:szCs w:val="22"/>
          <w:lang w:val="en-US"/>
        </w:rPr>
        <w:t>2044.     </w:t>
      </w:r>
    </w:p>
    <w:p w14:paraId="31285796" w14:textId="77777777" w:rsidR="00E5446B" w:rsidRPr="004D31A2" w:rsidRDefault="00E5446B">
      <w:pPr>
        <w:spacing w:line="276" w:lineRule="auto"/>
        <w:ind w:left="360"/>
        <w:rPr>
          <w:rFonts w:ascii="Calibri" w:hAnsi="Calibri" w:cs="Calibri"/>
          <w:color w:val="000000"/>
          <w:sz w:val="22"/>
          <w:szCs w:val="22"/>
        </w:rPr>
      </w:pPr>
    </w:p>
    <w:sectPr w:rsidR="00E5446B"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659C" w14:textId="77777777" w:rsidR="004A4AFB" w:rsidRDefault="004A4AFB" w:rsidP="002754A6">
      <w:r>
        <w:separator/>
      </w:r>
    </w:p>
  </w:endnote>
  <w:endnote w:type="continuationSeparator" w:id="0">
    <w:p w14:paraId="4E4A7806" w14:textId="77777777" w:rsidR="004A4AFB" w:rsidRDefault="004A4AFB" w:rsidP="002754A6">
      <w:r>
        <w:continuationSeparator/>
      </w:r>
    </w:p>
  </w:endnote>
  <w:endnote w:type="continuationNotice" w:id="1">
    <w:p w14:paraId="76AD71B0" w14:textId="77777777" w:rsidR="004A4AFB" w:rsidRDefault="004A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5E965" w14:textId="77777777" w:rsidR="004A4AFB" w:rsidRDefault="004A4AFB" w:rsidP="002754A6">
      <w:r>
        <w:separator/>
      </w:r>
    </w:p>
  </w:footnote>
  <w:footnote w:type="continuationSeparator" w:id="0">
    <w:p w14:paraId="12E0EA22" w14:textId="77777777" w:rsidR="004A4AFB" w:rsidRDefault="004A4AFB" w:rsidP="002754A6">
      <w:r>
        <w:continuationSeparator/>
      </w:r>
    </w:p>
  </w:footnote>
  <w:footnote w:type="continuationNotice" w:id="1">
    <w:p w14:paraId="0A640C96" w14:textId="77777777" w:rsidR="004A4AFB" w:rsidRDefault="004A4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948BF"/>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37BF2"/>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54B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7F9B"/>
    <w:rsid w:val="002D09FB"/>
    <w:rsid w:val="002D5310"/>
    <w:rsid w:val="002D6FFB"/>
    <w:rsid w:val="002D7060"/>
    <w:rsid w:val="002E42F4"/>
    <w:rsid w:val="002E5668"/>
    <w:rsid w:val="002E6686"/>
    <w:rsid w:val="002E7713"/>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66870"/>
    <w:rsid w:val="00372A22"/>
    <w:rsid w:val="00374D52"/>
    <w:rsid w:val="00374EFB"/>
    <w:rsid w:val="00375E26"/>
    <w:rsid w:val="00375F59"/>
    <w:rsid w:val="00382BBD"/>
    <w:rsid w:val="00384096"/>
    <w:rsid w:val="00386C7E"/>
    <w:rsid w:val="00390133"/>
    <w:rsid w:val="00392A7D"/>
    <w:rsid w:val="00393B63"/>
    <w:rsid w:val="00395F2E"/>
    <w:rsid w:val="00396101"/>
    <w:rsid w:val="003973F3"/>
    <w:rsid w:val="003A0ACA"/>
    <w:rsid w:val="003A36D7"/>
    <w:rsid w:val="003A6A70"/>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4AFB"/>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2F37"/>
    <w:rsid w:val="00535AE8"/>
    <w:rsid w:val="0054026E"/>
    <w:rsid w:val="00542A9F"/>
    <w:rsid w:val="00544160"/>
    <w:rsid w:val="00545413"/>
    <w:rsid w:val="00547EC0"/>
    <w:rsid w:val="005558E2"/>
    <w:rsid w:val="00561E90"/>
    <w:rsid w:val="00566375"/>
    <w:rsid w:val="00567C7B"/>
    <w:rsid w:val="005711DF"/>
    <w:rsid w:val="005724E6"/>
    <w:rsid w:val="00572D46"/>
    <w:rsid w:val="0057340B"/>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A14"/>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62DF"/>
    <w:rsid w:val="007271D7"/>
    <w:rsid w:val="0073245F"/>
    <w:rsid w:val="007359A7"/>
    <w:rsid w:val="00736477"/>
    <w:rsid w:val="00737769"/>
    <w:rsid w:val="007422B9"/>
    <w:rsid w:val="00743804"/>
    <w:rsid w:val="00743DBA"/>
    <w:rsid w:val="0074514E"/>
    <w:rsid w:val="00760CA5"/>
    <w:rsid w:val="00761007"/>
    <w:rsid w:val="007750FC"/>
    <w:rsid w:val="0077672F"/>
    <w:rsid w:val="0078105C"/>
    <w:rsid w:val="00783328"/>
    <w:rsid w:val="00787D17"/>
    <w:rsid w:val="00792A88"/>
    <w:rsid w:val="0079311C"/>
    <w:rsid w:val="007933D6"/>
    <w:rsid w:val="00796F77"/>
    <w:rsid w:val="007971D4"/>
    <w:rsid w:val="00797D2C"/>
    <w:rsid w:val="007A1A5E"/>
    <w:rsid w:val="007A20BF"/>
    <w:rsid w:val="007A391C"/>
    <w:rsid w:val="007A7DA9"/>
    <w:rsid w:val="007A7FF9"/>
    <w:rsid w:val="007B05C5"/>
    <w:rsid w:val="007B2385"/>
    <w:rsid w:val="007B2805"/>
    <w:rsid w:val="007B50CD"/>
    <w:rsid w:val="007C0132"/>
    <w:rsid w:val="007C0A95"/>
    <w:rsid w:val="007C312C"/>
    <w:rsid w:val="007D1BD7"/>
    <w:rsid w:val="007E0A5B"/>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101"/>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179C0"/>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67BCF"/>
    <w:rsid w:val="00A7022F"/>
    <w:rsid w:val="00A70296"/>
    <w:rsid w:val="00A71565"/>
    <w:rsid w:val="00A7205F"/>
    <w:rsid w:val="00A746EA"/>
    <w:rsid w:val="00A7475F"/>
    <w:rsid w:val="00A75178"/>
    <w:rsid w:val="00A769EE"/>
    <w:rsid w:val="00A76A3D"/>
    <w:rsid w:val="00A80EE4"/>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77B7"/>
    <w:rsid w:val="00B27BEF"/>
    <w:rsid w:val="00B341EA"/>
    <w:rsid w:val="00B34F69"/>
    <w:rsid w:val="00B43127"/>
    <w:rsid w:val="00B51823"/>
    <w:rsid w:val="00B51E17"/>
    <w:rsid w:val="00B52982"/>
    <w:rsid w:val="00B53F75"/>
    <w:rsid w:val="00B561E1"/>
    <w:rsid w:val="00B668D9"/>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195B"/>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0714"/>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650F"/>
    <w:rsid w:val="00CF7092"/>
    <w:rsid w:val="00D0075F"/>
    <w:rsid w:val="00D01A4A"/>
    <w:rsid w:val="00D02BA9"/>
    <w:rsid w:val="00D11186"/>
    <w:rsid w:val="00D13F8B"/>
    <w:rsid w:val="00D16F30"/>
    <w:rsid w:val="00D23BF8"/>
    <w:rsid w:val="00D25973"/>
    <w:rsid w:val="00D34EEF"/>
    <w:rsid w:val="00D41F09"/>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226C"/>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446B"/>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94DA0"/>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paragraph" w:customStyle="1" w:styleId="p1">
    <w:name w:val="p1"/>
    <w:basedOn w:val="Normal"/>
    <w:rsid w:val="00683A14"/>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20169689">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14801087">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lmarinas.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4869</Characters>
  <Application>Microsoft Office Word</Application>
  <DocSecurity>4</DocSecurity>
  <Lines>65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Emma Stanbury</cp:lastModifiedBy>
  <cp:revision>2</cp:revision>
  <cp:lastPrinted>2023-02-21T09:44:00Z</cp:lastPrinted>
  <dcterms:created xsi:type="dcterms:W3CDTF">2025-12-16T11:26:00Z</dcterms:created>
  <dcterms:modified xsi:type="dcterms:W3CDTF">2025-12-16T11:26:00Z</dcterms:modified>
</cp:coreProperties>
</file>