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9F7" w14:textId="04B846E7" w:rsidR="001C1D36" w:rsidRPr="00A374ED" w:rsidRDefault="001C1D36" w:rsidP="00A374ED">
      <w:pPr>
        <w:spacing w:line="276" w:lineRule="auto"/>
        <w:rPr>
          <w:b/>
          <w:bCs/>
        </w:rPr>
      </w:pPr>
      <w:r w:rsidRPr="00A374ED">
        <w:rPr>
          <w:b/>
          <w:bCs/>
        </w:rPr>
        <w:t>News Release</w:t>
      </w:r>
    </w:p>
    <w:p w14:paraId="04500935" w14:textId="77777777" w:rsidR="001C1D36" w:rsidRPr="00A374ED" w:rsidRDefault="001C1D36" w:rsidP="00A374ED">
      <w:pPr>
        <w:spacing w:line="276" w:lineRule="auto"/>
        <w:rPr>
          <w:b/>
          <w:bCs/>
        </w:rPr>
      </w:pPr>
      <w:r w:rsidRPr="00A374ED">
        <w:rPr>
          <w:b/>
          <w:bCs/>
        </w:rPr>
        <w:t>For Immediate Release</w:t>
      </w:r>
    </w:p>
    <w:p w14:paraId="3921EA1D" w14:textId="09F2724D" w:rsidR="001C1D36" w:rsidRPr="00A374ED" w:rsidRDefault="00BC195B" w:rsidP="00A374ED">
      <w:pPr>
        <w:spacing w:line="276" w:lineRule="auto"/>
        <w:rPr>
          <w:b/>
          <w:bCs/>
        </w:rPr>
      </w:pPr>
      <w:r w:rsidRPr="00A374ED">
        <w:rPr>
          <w:b/>
          <w:bCs/>
        </w:rPr>
        <w:t>2</w:t>
      </w:r>
      <w:r w:rsidR="00C679D0">
        <w:rPr>
          <w:b/>
          <w:bCs/>
        </w:rPr>
        <w:t>4</w:t>
      </w:r>
      <w:r w:rsidRPr="00A374ED">
        <w:rPr>
          <w:b/>
          <w:bCs/>
        </w:rPr>
        <w:t xml:space="preserve"> October</w:t>
      </w:r>
      <w:r w:rsidR="001C1D36" w:rsidRPr="00A374ED">
        <w:rPr>
          <w:b/>
          <w:bCs/>
        </w:rPr>
        <w:t xml:space="preserve"> 202</w:t>
      </w:r>
      <w:r w:rsidR="009402FD" w:rsidRPr="00A374ED">
        <w:rPr>
          <w:b/>
          <w:bCs/>
        </w:rPr>
        <w:t>5</w:t>
      </w:r>
    </w:p>
    <w:p w14:paraId="23F4C141" w14:textId="77777777" w:rsidR="00A911AE" w:rsidRPr="00A374ED" w:rsidRDefault="00A911AE" w:rsidP="00A374ED">
      <w:pPr>
        <w:spacing w:line="276" w:lineRule="auto"/>
      </w:pPr>
    </w:p>
    <w:p w14:paraId="05676420" w14:textId="77777777" w:rsidR="008C4C01" w:rsidRPr="00A374ED" w:rsidRDefault="008C4C01" w:rsidP="00A374ED">
      <w:pPr>
        <w:spacing w:line="276" w:lineRule="auto"/>
        <w:jc w:val="center"/>
        <w:rPr>
          <w:rFonts w:ascii="Aptos" w:hAnsi="Aptos"/>
        </w:rPr>
      </w:pPr>
      <w:r w:rsidRPr="00A374ED">
        <w:rPr>
          <w:rFonts w:ascii="Calibri" w:hAnsi="Calibri" w:cs="Calibri"/>
          <w:b/>
          <w:bCs/>
        </w:rPr>
        <w:t>MDL Marinas celebrates double win at Maritime Solent Awards 2025</w:t>
      </w:r>
    </w:p>
    <w:p w14:paraId="6A78C89C" w14:textId="77777777" w:rsidR="008C4C01" w:rsidRPr="00A374ED" w:rsidRDefault="008C4C01" w:rsidP="00A374ED">
      <w:pPr>
        <w:spacing w:line="276" w:lineRule="auto"/>
        <w:rPr>
          <w:rFonts w:ascii="Aptos" w:hAnsi="Aptos"/>
        </w:rPr>
      </w:pPr>
      <w:r w:rsidRPr="00A374ED">
        <w:rPr>
          <w:rFonts w:ascii="Calibri" w:hAnsi="Calibri" w:cs="Calibri"/>
        </w:rPr>
        <w:t> </w:t>
      </w:r>
    </w:p>
    <w:p w14:paraId="36B4F039" w14:textId="77777777" w:rsidR="008C4C01" w:rsidRPr="00A374ED" w:rsidRDefault="008C4C01" w:rsidP="00A374ED">
      <w:pPr>
        <w:spacing w:line="276" w:lineRule="auto"/>
        <w:rPr>
          <w:rFonts w:ascii="Aptos" w:hAnsi="Aptos"/>
        </w:rPr>
      </w:pPr>
      <w:r w:rsidRPr="00A374ED">
        <w:rPr>
          <w:rFonts w:ascii="Calibri" w:hAnsi="Calibri" w:cs="Calibri"/>
        </w:rPr>
        <w:t>MDL Marinas is celebrating a major success after securing wins in both its nominated categories at the Maritime Solent Awards 2025, announced at last night’s prestigious ceremony.</w:t>
      </w:r>
    </w:p>
    <w:p w14:paraId="56709598" w14:textId="77777777" w:rsidR="008C4C01" w:rsidRPr="00A374ED" w:rsidRDefault="008C4C01" w:rsidP="00A374ED">
      <w:pPr>
        <w:spacing w:line="276" w:lineRule="auto"/>
        <w:rPr>
          <w:rFonts w:ascii="Aptos" w:hAnsi="Aptos"/>
        </w:rPr>
      </w:pPr>
      <w:r w:rsidRPr="00A374ED">
        <w:rPr>
          <w:rFonts w:ascii="Calibri" w:hAnsi="Calibri" w:cs="Calibri"/>
        </w:rPr>
        <w:t> </w:t>
      </w:r>
    </w:p>
    <w:p w14:paraId="3827CEB9" w14:textId="310D3C01" w:rsidR="008C4C01" w:rsidRPr="00A374ED" w:rsidRDefault="008C4C01" w:rsidP="00A374ED">
      <w:pPr>
        <w:spacing w:line="276" w:lineRule="auto"/>
        <w:rPr>
          <w:rFonts w:ascii="Aptos" w:hAnsi="Aptos"/>
        </w:rPr>
      </w:pPr>
      <w:r w:rsidRPr="00A374ED">
        <w:rPr>
          <w:rFonts w:ascii="Calibri" w:hAnsi="Calibri" w:cs="Calibri"/>
        </w:rPr>
        <w:t>The company was awarded Clean Maritime Innovator and Sustainability Leadership, recognising the significant environmental progress driven by MDL’s Head of Property Infrastructure, Steve Russell, and the wider operational teams across its network of marinas and boatyards.</w:t>
      </w:r>
    </w:p>
    <w:p w14:paraId="6A325543" w14:textId="77777777" w:rsidR="008C4C01" w:rsidRPr="00A374ED" w:rsidRDefault="008C4C01" w:rsidP="00A374ED">
      <w:pPr>
        <w:spacing w:line="276" w:lineRule="auto"/>
        <w:rPr>
          <w:rFonts w:ascii="Aptos" w:hAnsi="Aptos"/>
        </w:rPr>
      </w:pPr>
      <w:r w:rsidRPr="00A374ED">
        <w:rPr>
          <w:rFonts w:ascii="Calibri" w:hAnsi="Calibri" w:cs="Calibri"/>
        </w:rPr>
        <w:t> </w:t>
      </w:r>
    </w:p>
    <w:p w14:paraId="27FDE52D" w14:textId="77777777" w:rsidR="008C4C01" w:rsidRPr="00A374ED" w:rsidRDefault="008C4C01" w:rsidP="00A374ED">
      <w:pPr>
        <w:spacing w:line="276" w:lineRule="auto"/>
        <w:rPr>
          <w:rFonts w:ascii="Aptos" w:hAnsi="Aptos"/>
        </w:rPr>
      </w:pPr>
      <w:r w:rsidRPr="00A374ED">
        <w:rPr>
          <w:rFonts w:ascii="Calibri" w:hAnsi="Calibri" w:cs="Calibri"/>
        </w:rPr>
        <w:t>Judges highlighted several achievements that have positioned MDL Marinas at the forefront of sustainable change within the UK’s marine sector, including:</w:t>
      </w:r>
    </w:p>
    <w:p w14:paraId="524DB029" w14:textId="77777777" w:rsidR="008C4C01" w:rsidRPr="00A374ED" w:rsidRDefault="008C4C01" w:rsidP="00A374ED">
      <w:pPr>
        <w:spacing w:line="276" w:lineRule="auto"/>
        <w:rPr>
          <w:rFonts w:ascii="Aptos" w:hAnsi="Aptos"/>
        </w:rPr>
      </w:pPr>
      <w:r w:rsidRPr="00A374ED">
        <w:rPr>
          <w:rFonts w:ascii="Calibri" w:hAnsi="Calibri" w:cs="Calibri"/>
        </w:rPr>
        <w:t> </w:t>
      </w:r>
    </w:p>
    <w:p w14:paraId="096BF34F" w14:textId="5BB690F9" w:rsidR="008C4C01" w:rsidRPr="00A374ED" w:rsidRDefault="008C4C01" w:rsidP="00A374ED">
      <w:pPr>
        <w:spacing w:line="276" w:lineRule="auto"/>
        <w:rPr>
          <w:rFonts w:ascii="Aptos" w:hAnsi="Aptos"/>
        </w:rPr>
      </w:pPr>
      <w:r w:rsidRPr="00A374ED">
        <w:rPr>
          <w:rFonts w:ascii="Calibri" w:hAnsi="Calibri" w:cs="Calibri"/>
        </w:rPr>
        <w:t>• A 54% reduction in carbon emissions since 2022</w:t>
      </w:r>
      <w:r w:rsidRPr="00A374ED">
        <w:rPr>
          <w:rFonts w:ascii="Calibri" w:hAnsi="Calibri" w:cs="Calibri"/>
        </w:rPr>
        <w:br/>
        <w:t>• 100% renewable electricity across all MDL locations</w:t>
      </w:r>
      <w:r w:rsidRPr="00A374ED">
        <w:rPr>
          <w:rFonts w:ascii="Calibri" w:hAnsi="Calibri" w:cs="Calibri"/>
        </w:rPr>
        <w:br/>
        <w:t>• Solar panel installations rolled out at 18 UK marinas and boatyards</w:t>
      </w:r>
      <w:r w:rsidRPr="00A374ED">
        <w:rPr>
          <w:rFonts w:ascii="Calibri" w:hAnsi="Calibri" w:cs="Calibri"/>
        </w:rPr>
        <w:br/>
        <w:t xml:space="preserve">• Becoming the first UK marina operator to implement BREEAM sustainability standards for </w:t>
      </w:r>
      <w:r w:rsidR="001149FF">
        <w:rPr>
          <w:rFonts w:ascii="Calibri" w:hAnsi="Calibri" w:cs="Calibri"/>
        </w:rPr>
        <w:t xml:space="preserve"> </w:t>
      </w:r>
      <w:r w:rsidR="001546D0">
        <w:rPr>
          <w:rFonts w:ascii="Calibri" w:hAnsi="Calibri" w:cs="Calibri"/>
        </w:rPr>
        <w:t xml:space="preserve"> </w:t>
      </w:r>
      <w:r w:rsidRPr="00A374ED">
        <w:rPr>
          <w:rFonts w:ascii="Calibri" w:hAnsi="Calibri" w:cs="Calibri"/>
        </w:rPr>
        <w:t>marine facilities</w:t>
      </w:r>
    </w:p>
    <w:p w14:paraId="0D61CC15" w14:textId="77777777" w:rsidR="008C4C01" w:rsidRPr="00A374ED" w:rsidRDefault="008C4C01" w:rsidP="00A374ED">
      <w:pPr>
        <w:spacing w:line="276" w:lineRule="auto"/>
        <w:rPr>
          <w:rFonts w:ascii="Aptos" w:hAnsi="Aptos"/>
        </w:rPr>
      </w:pPr>
      <w:r w:rsidRPr="00A374ED">
        <w:rPr>
          <w:rFonts w:ascii="Calibri" w:hAnsi="Calibri" w:cs="Calibri"/>
        </w:rPr>
        <w:t> </w:t>
      </w:r>
    </w:p>
    <w:p w14:paraId="7BDF05CF" w14:textId="544A06A9" w:rsidR="008C4C01" w:rsidRPr="00A374ED" w:rsidRDefault="008C4C01" w:rsidP="00A374ED">
      <w:pPr>
        <w:spacing w:line="276" w:lineRule="auto"/>
        <w:rPr>
          <w:rFonts w:ascii="Aptos" w:hAnsi="Aptos"/>
        </w:rPr>
      </w:pPr>
      <w:r w:rsidRPr="00A374ED">
        <w:rPr>
          <w:rFonts w:ascii="Calibri" w:hAnsi="Calibri" w:cs="Calibri"/>
        </w:rPr>
        <w:t>“These wins recognise the outstanding environmental work led by Steve Russell and our dedicated team across the business,” says Tim Mayer, Sales and Marketing Director at MDL Marinas. “This recognition reflects our commitment to leading the maritime industry towards a cleaner, more sustainable future whilst continuing to deliver exceptional service to our customers.</w:t>
      </w:r>
    </w:p>
    <w:p w14:paraId="35EEE1A4" w14:textId="77777777" w:rsidR="008C4C01" w:rsidRPr="00A374ED" w:rsidRDefault="008C4C01" w:rsidP="00A374ED">
      <w:pPr>
        <w:spacing w:line="276" w:lineRule="auto"/>
        <w:rPr>
          <w:rFonts w:ascii="Aptos" w:hAnsi="Aptos"/>
        </w:rPr>
      </w:pPr>
      <w:r w:rsidRPr="00A374ED">
        <w:rPr>
          <w:rFonts w:ascii="Calibri" w:hAnsi="Calibri" w:cs="Calibri"/>
        </w:rPr>
        <w:t> </w:t>
      </w:r>
    </w:p>
    <w:p w14:paraId="28532BC5" w14:textId="78F6FE95" w:rsidR="008C4C01" w:rsidRPr="00A374ED" w:rsidRDefault="008C4C01" w:rsidP="00A374ED">
      <w:pPr>
        <w:spacing w:line="276" w:lineRule="auto"/>
        <w:rPr>
          <w:rFonts w:ascii="Aptos" w:hAnsi="Aptos"/>
        </w:rPr>
      </w:pPr>
      <w:r w:rsidRPr="00A374ED">
        <w:rPr>
          <w:rFonts w:ascii="Calibri" w:hAnsi="Calibri" w:cs="Calibri"/>
        </w:rPr>
        <w:t xml:space="preserve">“Congratulations to Steve, Daniel Horsley, David Prior, Zander </w:t>
      </w:r>
      <w:proofErr w:type="spellStart"/>
      <w:r w:rsidRPr="00A374ED">
        <w:rPr>
          <w:rFonts w:ascii="Calibri" w:hAnsi="Calibri" w:cs="Calibri"/>
        </w:rPr>
        <w:t>Ozelton</w:t>
      </w:r>
      <w:proofErr w:type="spellEnd"/>
      <w:r w:rsidRPr="00A374ED">
        <w:rPr>
          <w:rFonts w:ascii="Calibri" w:hAnsi="Calibri" w:cs="Calibri"/>
        </w:rPr>
        <w:t xml:space="preserve"> and</w:t>
      </w:r>
      <w:r w:rsidR="00F84035">
        <w:rPr>
          <w:rFonts w:ascii="Calibri" w:hAnsi="Calibri" w:cs="Calibri"/>
        </w:rPr>
        <w:t>,</w:t>
      </w:r>
      <w:r w:rsidRPr="00A374ED">
        <w:rPr>
          <w:rFonts w:ascii="Calibri" w:hAnsi="Calibri" w:cs="Calibri"/>
        </w:rPr>
        <w:t xml:space="preserve"> of course</w:t>
      </w:r>
      <w:r w:rsidR="00F84035">
        <w:rPr>
          <w:rFonts w:ascii="Calibri" w:hAnsi="Calibri" w:cs="Calibri"/>
        </w:rPr>
        <w:t>,</w:t>
      </w:r>
      <w:r w:rsidRPr="00A374ED">
        <w:rPr>
          <w:rFonts w:ascii="Calibri" w:hAnsi="Calibri" w:cs="Calibri"/>
        </w:rPr>
        <w:t xml:space="preserve"> our troops on the ground involved in making this happen. This is a significant milestone for MDL Marinas and demonstrates that commercial success and environmental responsibility go hand in hand. A massive thank you to Lorna Wagner, Stuart Baker, Anne-Marie </w:t>
      </w:r>
      <w:proofErr w:type="spellStart"/>
      <w:r w:rsidRPr="00A374ED">
        <w:rPr>
          <w:rFonts w:ascii="Calibri" w:hAnsi="Calibri" w:cs="Calibri"/>
        </w:rPr>
        <w:t>Mountifield</w:t>
      </w:r>
      <w:proofErr w:type="spellEnd"/>
      <w:r w:rsidRPr="00A374ED">
        <w:rPr>
          <w:rFonts w:ascii="Calibri" w:hAnsi="Calibri" w:cs="Calibri"/>
        </w:rPr>
        <w:t xml:space="preserve"> and the Maritime Solent team for putting it all together.”</w:t>
      </w:r>
    </w:p>
    <w:p w14:paraId="19C2DA38" w14:textId="77777777" w:rsidR="008C4C01" w:rsidRPr="00A374ED" w:rsidRDefault="008C4C01" w:rsidP="00A374ED">
      <w:pPr>
        <w:spacing w:line="276" w:lineRule="auto"/>
        <w:rPr>
          <w:rFonts w:ascii="Aptos" w:hAnsi="Aptos"/>
        </w:rPr>
      </w:pPr>
      <w:r w:rsidRPr="00A374ED">
        <w:rPr>
          <w:rFonts w:ascii="Calibri" w:hAnsi="Calibri" w:cs="Calibri"/>
        </w:rPr>
        <w:t> </w:t>
      </w:r>
    </w:p>
    <w:p w14:paraId="633A4BEA" w14:textId="77777777" w:rsidR="008C4C01" w:rsidRPr="00A374ED" w:rsidRDefault="008C4C01" w:rsidP="00A374ED">
      <w:pPr>
        <w:spacing w:line="276" w:lineRule="auto"/>
        <w:rPr>
          <w:rFonts w:ascii="Aptos" w:hAnsi="Aptos"/>
        </w:rPr>
      </w:pPr>
      <w:r w:rsidRPr="00A374ED">
        <w:rPr>
          <w:rFonts w:ascii="Calibri" w:hAnsi="Calibri" w:cs="Calibri"/>
        </w:rPr>
        <w:t>Stuart Baker, Chief Executive of Maritime Solent, adds: “A heartfelt congratulations to our winners of the Maritime Solent Awards 2025. The Awards evening was the ultimate showcase of maritime skill, talent, leadership and innovation and it was an honour to host a prestigious platform enabling maritime businesses to be celebrated for their successes over the last year.”</w:t>
      </w:r>
    </w:p>
    <w:p w14:paraId="4E7F4B57" w14:textId="77777777" w:rsidR="008C4C01" w:rsidRPr="00A374ED" w:rsidRDefault="008C4C01" w:rsidP="00A374ED">
      <w:pPr>
        <w:spacing w:line="276" w:lineRule="auto"/>
        <w:rPr>
          <w:rFonts w:ascii="Aptos" w:hAnsi="Aptos"/>
        </w:rPr>
      </w:pPr>
      <w:r w:rsidRPr="00A374ED">
        <w:rPr>
          <w:rFonts w:ascii="Calibri" w:hAnsi="Calibri" w:cs="Calibri"/>
        </w:rPr>
        <w:t> </w:t>
      </w:r>
    </w:p>
    <w:p w14:paraId="047A21B3" w14:textId="77777777" w:rsidR="008C4C01" w:rsidRPr="00A374ED" w:rsidRDefault="008C4C01" w:rsidP="00A374ED">
      <w:pPr>
        <w:spacing w:line="276" w:lineRule="auto"/>
        <w:rPr>
          <w:rFonts w:ascii="Aptos" w:hAnsi="Aptos"/>
        </w:rPr>
      </w:pPr>
      <w:r w:rsidRPr="00A374ED">
        <w:rPr>
          <w:rFonts w:ascii="Calibri" w:hAnsi="Calibri" w:cs="Calibri"/>
        </w:rPr>
        <w:t>The double win highlights MDL’s role in driving innovation and investment in clean maritime solutions while continuing to champion regional growth and industry excellence.</w:t>
      </w:r>
    </w:p>
    <w:p w14:paraId="5C6B8261" w14:textId="77777777" w:rsidR="008C4C01" w:rsidRPr="00A374ED" w:rsidRDefault="008C4C01" w:rsidP="00A374ED">
      <w:pPr>
        <w:spacing w:line="276" w:lineRule="auto"/>
        <w:rPr>
          <w:rFonts w:ascii="Aptos" w:hAnsi="Aptos"/>
        </w:rPr>
      </w:pPr>
      <w:r w:rsidRPr="00A374ED">
        <w:rPr>
          <w:rFonts w:ascii="Calibri" w:hAnsi="Calibri" w:cs="Calibri"/>
        </w:rPr>
        <w:t> </w:t>
      </w:r>
    </w:p>
    <w:p w14:paraId="23759F7A" w14:textId="235213F0" w:rsidR="008C4C01" w:rsidRPr="00A374ED" w:rsidRDefault="008C4C01" w:rsidP="00A374ED">
      <w:pPr>
        <w:spacing w:line="276" w:lineRule="auto"/>
        <w:rPr>
          <w:rFonts w:ascii="Aptos" w:hAnsi="Aptos"/>
        </w:rPr>
      </w:pPr>
      <w:r w:rsidRPr="00A374ED">
        <w:rPr>
          <w:rFonts w:ascii="Calibri" w:hAnsi="Calibri" w:cs="Calibri"/>
        </w:rPr>
        <w:t>For more information about MDL Marinas and its network of 18 premium UK marinas, visit</w:t>
      </w:r>
      <w:r w:rsidRPr="00A374ED">
        <w:rPr>
          <w:rStyle w:val="apple-converted-space"/>
          <w:rFonts w:ascii="Calibri" w:hAnsi="Calibri" w:cs="Calibri"/>
        </w:rPr>
        <w:t> </w:t>
      </w:r>
      <w:hyperlink r:id="rId8" w:history="1">
        <w:r w:rsidR="00FA3F81" w:rsidRPr="00875BC9">
          <w:rPr>
            <w:rStyle w:val="Hyperlink"/>
            <w:rFonts w:ascii="Calibri" w:hAnsi="Calibri" w:cs="Calibri"/>
          </w:rPr>
          <w:t>w</w:t>
        </w:r>
        <w:r w:rsidR="00FA3F81" w:rsidRPr="00875BC9">
          <w:rPr>
            <w:rStyle w:val="Hyperlink"/>
            <w:rFonts w:ascii="Calibri" w:hAnsi="Calibri" w:cs="Calibri"/>
          </w:rPr>
          <w:t>ww.mdlmarinas.co.uk</w:t>
        </w:r>
      </w:hyperlink>
    </w:p>
    <w:p w14:paraId="7273D5CC" w14:textId="77777777" w:rsidR="008C4C01" w:rsidRPr="00A374ED" w:rsidRDefault="008C4C01" w:rsidP="00A374ED">
      <w:pPr>
        <w:spacing w:line="276" w:lineRule="auto"/>
        <w:rPr>
          <w:rFonts w:ascii="Aptos" w:hAnsi="Aptos"/>
        </w:rPr>
      </w:pPr>
      <w:r w:rsidRPr="00A374ED">
        <w:rPr>
          <w:rFonts w:ascii="Calibri" w:hAnsi="Calibri" w:cs="Calibri"/>
        </w:rPr>
        <w:t> </w:t>
      </w:r>
    </w:p>
    <w:p w14:paraId="60DDE214" w14:textId="77777777" w:rsidR="008C4C01" w:rsidRPr="00A374ED" w:rsidRDefault="008C4C01" w:rsidP="00A374ED">
      <w:pPr>
        <w:spacing w:line="276" w:lineRule="auto"/>
        <w:rPr>
          <w:rFonts w:ascii="Aptos" w:hAnsi="Aptos"/>
        </w:rPr>
      </w:pPr>
      <w:r w:rsidRPr="00A374ED">
        <w:rPr>
          <w:rFonts w:ascii="Calibri" w:hAnsi="Calibri" w:cs="Calibri"/>
          <w:b/>
          <w:bCs/>
        </w:rPr>
        <w:t>ENDS</w:t>
      </w:r>
    </w:p>
    <w:p w14:paraId="7EBE60EF" w14:textId="77777777" w:rsidR="00A911AE" w:rsidRPr="00A911AE" w:rsidRDefault="00A911AE" w:rsidP="00A911AE">
      <w:pPr>
        <w:pStyle w:val="NormalWeb"/>
        <w:spacing w:before="0" w:beforeAutospacing="0" w:after="0" w:afterAutospacing="0"/>
        <w:rPr>
          <w:color w:val="000000"/>
        </w:rPr>
      </w:pP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9"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is able to offer unrivalled value to help clients reach their target markets.  </w:t>
      </w:r>
    </w:p>
    <w:p w14:paraId="4EFA7EE2"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0" w:history="1">
        <w:r w:rsidRPr="003B05AA">
          <w:rPr>
            <w:rStyle w:val="Hyperlink"/>
            <w:rFonts w:cstheme="minorHAnsi"/>
            <w:color w:val="0563C1"/>
            <w:sz w:val="22"/>
            <w:szCs w:val="22"/>
          </w:rPr>
          <w:t>www.maa.agency</w:t>
        </w:r>
      </w:hyperlink>
    </w:p>
    <w:p w14:paraId="7AE276AB" w14:textId="77777777" w:rsidR="0077672F" w:rsidRPr="003B05AA" w:rsidRDefault="0077672F" w:rsidP="003B05AA">
      <w:pPr>
        <w:pStyle w:val="ListParagraph"/>
        <w:spacing w:line="276" w:lineRule="auto"/>
        <w:rPr>
          <w:rFonts w:cstheme="minorHAnsi"/>
          <w:color w:val="000000"/>
          <w:sz w:val="22"/>
          <w:szCs w:val="22"/>
        </w:rPr>
      </w:pPr>
      <w:r w:rsidRPr="003B05AA">
        <w:rPr>
          <w:rFonts w:cstheme="minorHAnsi"/>
          <w:color w:val="000000"/>
          <w:sz w:val="22"/>
          <w:szCs w:val="22"/>
        </w:rPr>
        <w:t> </w:t>
      </w:r>
    </w:p>
    <w:p w14:paraId="5CEF84C4" w14:textId="3C172138" w:rsidR="0077672F" w:rsidRPr="003B05AA" w:rsidRDefault="0077672F" w:rsidP="003B05AA">
      <w:pPr>
        <w:spacing w:line="276" w:lineRule="auto"/>
        <w:rPr>
          <w:rFonts w:cstheme="minorHAnsi"/>
          <w:color w:val="000000"/>
          <w:sz w:val="22"/>
          <w:szCs w:val="22"/>
        </w:rPr>
      </w:pPr>
      <w:r w:rsidRPr="003B05AA">
        <w:rPr>
          <w:rFonts w:cstheme="minorHAnsi"/>
          <w:color w:val="000000"/>
          <w:sz w:val="22"/>
          <w:szCs w:val="22"/>
          <w:lang w:val="en-US"/>
        </w:rPr>
        <w:t>For media enquiries, more information, product tests or hi-res images:</w:t>
      </w:r>
    </w:p>
    <w:p w14:paraId="6BC53CC6" w14:textId="77777777"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 </w:t>
      </w:r>
    </w:p>
    <w:p w14:paraId="08B97583" w14:textId="77777777" w:rsidR="0077672F" w:rsidRPr="003B05AA" w:rsidRDefault="0077672F" w:rsidP="003B05AA">
      <w:pPr>
        <w:spacing w:line="276" w:lineRule="auto"/>
        <w:ind w:left="360"/>
        <w:rPr>
          <w:rFonts w:cstheme="minorHAnsi"/>
          <w:b/>
          <w:bCs/>
          <w:color w:val="000000"/>
          <w:sz w:val="22"/>
          <w:szCs w:val="22"/>
        </w:rPr>
      </w:pPr>
      <w:r w:rsidRPr="003B05AA">
        <w:rPr>
          <w:rFonts w:cstheme="minorHAnsi"/>
          <w:b/>
          <w:bCs/>
          <w:color w:val="000000"/>
          <w:sz w:val="22"/>
          <w:szCs w:val="22"/>
          <w:lang w:val="en-US"/>
        </w:rPr>
        <w:t>MAA</w:t>
      </w:r>
    </w:p>
    <w:p w14:paraId="54E27F65" w14:textId="75A22B59" w:rsidR="0077672F" w:rsidRPr="003B05AA" w:rsidRDefault="007F6035" w:rsidP="003B05AA">
      <w:pPr>
        <w:spacing w:line="276" w:lineRule="auto"/>
        <w:ind w:left="360"/>
        <w:rPr>
          <w:rFonts w:cstheme="minorHAnsi"/>
          <w:color w:val="000000"/>
          <w:sz w:val="22"/>
          <w:szCs w:val="22"/>
        </w:rPr>
      </w:pPr>
      <w:r w:rsidRPr="003B05AA">
        <w:rPr>
          <w:rFonts w:cstheme="minorHAnsi"/>
          <w:color w:val="000000"/>
          <w:sz w:val="22"/>
          <w:szCs w:val="22"/>
          <w:lang w:val="en-US"/>
        </w:rPr>
        <w:t>Mike Shepherd</w:t>
      </w:r>
    </w:p>
    <w:p w14:paraId="103E2D2C" w14:textId="580F15C4"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Email:</w:t>
      </w:r>
      <w:r w:rsidRPr="003B05AA">
        <w:rPr>
          <w:rStyle w:val="apple-converted-space"/>
          <w:rFonts w:cstheme="minorHAnsi"/>
          <w:color w:val="000000"/>
          <w:sz w:val="22"/>
          <w:szCs w:val="22"/>
          <w:lang w:val="en-US"/>
        </w:rPr>
        <w:t> </w:t>
      </w:r>
      <w:hyperlink r:id="rId11" w:history="1">
        <w:r w:rsidR="007F6035" w:rsidRPr="003B05AA">
          <w:rPr>
            <w:rStyle w:val="Hyperlink"/>
            <w:rFonts w:cstheme="minorHAnsi"/>
            <w:sz w:val="22"/>
            <w:szCs w:val="22"/>
            <w:lang w:val="en-US"/>
          </w:rPr>
          <w:t>mike@maa.agency</w:t>
        </w:r>
      </w:hyperlink>
      <w:r w:rsidRPr="003B05AA">
        <w:rPr>
          <w:rFonts w:cstheme="minorHAnsi"/>
          <w:color w:val="000000"/>
          <w:sz w:val="22"/>
          <w:szCs w:val="22"/>
          <w:lang w:val="en-US"/>
        </w:rPr>
        <w:t>                                                 </w:t>
      </w:r>
      <w:r w:rsidRPr="003B05AA">
        <w:rPr>
          <w:rStyle w:val="apple-converted-space"/>
          <w:rFonts w:cstheme="minorHAnsi"/>
          <w:color w:val="000000"/>
          <w:sz w:val="22"/>
          <w:szCs w:val="22"/>
          <w:lang w:val="en-US"/>
        </w:rPr>
        <w:t> </w:t>
      </w:r>
    </w:p>
    <w:p w14:paraId="00E39A01" w14:textId="71E91880" w:rsidR="00356541" w:rsidRPr="004D31A2" w:rsidRDefault="0077672F" w:rsidP="004D31A2">
      <w:pPr>
        <w:spacing w:line="276" w:lineRule="auto"/>
        <w:ind w:left="360"/>
        <w:rPr>
          <w:rFonts w:ascii="Calibri" w:hAnsi="Calibri" w:cs="Calibri"/>
          <w:color w:val="000000"/>
          <w:sz w:val="22"/>
          <w:szCs w:val="22"/>
        </w:rPr>
      </w:pPr>
      <w:r w:rsidRPr="003B05AA">
        <w:rPr>
          <w:rFonts w:cstheme="minorHAnsi"/>
          <w:color w:val="000000"/>
          <w:sz w:val="22"/>
          <w:szCs w:val="22"/>
          <w:lang w:val="en-US"/>
        </w:rPr>
        <w:t>Tel: +44 (0) 23 9252 2044.                          </w:t>
      </w:r>
      <w:r w:rsidRPr="003B05AA">
        <w:rPr>
          <w:rFonts w:ascii="Calibri Light" w:hAnsi="Calibri Light" w:cs="Calibri Light"/>
          <w:color w:val="000000"/>
          <w:sz w:val="22"/>
          <w:szCs w:val="22"/>
          <w:lang w:val="en-US"/>
        </w:rPr>
        <w:t>                              </w:t>
      </w:r>
      <w:r w:rsidRPr="003B05AA">
        <w:rPr>
          <w:rStyle w:val="apple-converted-space"/>
          <w:rFonts w:ascii="Calibri Light" w:hAnsi="Calibri Light" w:cs="Calibri Light"/>
          <w:color w:val="000000"/>
          <w:sz w:val="22"/>
          <w:szCs w:val="22"/>
          <w:lang w:val="en-US"/>
        </w:rPr>
        <w:t> </w:t>
      </w:r>
    </w:p>
    <w:p w14:paraId="31285796" w14:textId="77777777" w:rsidR="00E5446B" w:rsidRPr="004D31A2" w:rsidRDefault="00E5446B">
      <w:pPr>
        <w:spacing w:line="276" w:lineRule="auto"/>
        <w:ind w:left="360"/>
        <w:rPr>
          <w:rFonts w:ascii="Calibri" w:hAnsi="Calibri" w:cs="Calibri"/>
          <w:color w:val="000000"/>
          <w:sz w:val="22"/>
          <w:szCs w:val="22"/>
        </w:rPr>
      </w:pPr>
    </w:p>
    <w:sectPr w:rsidR="00E5446B" w:rsidRPr="004D31A2" w:rsidSect="00503C0F">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28A3" w14:textId="77777777" w:rsidR="000948BF" w:rsidRDefault="000948BF" w:rsidP="002754A6">
      <w:r>
        <w:separator/>
      </w:r>
    </w:p>
  </w:endnote>
  <w:endnote w:type="continuationSeparator" w:id="0">
    <w:p w14:paraId="6DECF53C" w14:textId="77777777" w:rsidR="000948BF" w:rsidRDefault="000948BF" w:rsidP="002754A6">
      <w:r>
        <w:continuationSeparator/>
      </w:r>
    </w:p>
  </w:endnote>
  <w:endnote w:type="continuationNotice" w:id="1">
    <w:p w14:paraId="4118AFD5" w14:textId="77777777" w:rsidR="000948BF" w:rsidRDefault="00094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2372" w14:textId="77777777" w:rsidR="0017360E" w:rsidRDefault="0017360E" w:rsidP="00812BBF">
    <w:pPr>
      <w:pStyle w:val="Footer"/>
      <w:rPr>
        <w:rFonts w:asciiTheme="majorHAnsi" w:hAnsiTheme="majorHAnsi"/>
        <w:sz w:val="16"/>
        <w:szCs w:val="16"/>
      </w:rPr>
    </w:pPr>
  </w:p>
  <w:p w14:paraId="78A01FE5" w14:textId="3AA022DC"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A113" w14:textId="77777777" w:rsidR="000948BF" w:rsidRDefault="000948BF" w:rsidP="002754A6">
      <w:r>
        <w:separator/>
      </w:r>
    </w:p>
  </w:footnote>
  <w:footnote w:type="continuationSeparator" w:id="0">
    <w:p w14:paraId="2A19123F" w14:textId="77777777" w:rsidR="000948BF" w:rsidRDefault="000948BF" w:rsidP="002754A6">
      <w:r>
        <w:continuationSeparator/>
      </w:r>
    </w:p>
  </w:footnote>
  <w:footnote w:type="continuationNotice" w:id="1">
    <w:p w14:paraId="3BF7FA9E" w14:textId="77777777" w:rsidR="000948BF" w:rsidRDefault="000948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622F"/>
    <w:rsid w:val="00086287"/>
    <w:rsid w:val="00087C7A"/>
    <w:rsid w:val="00094063"/>
    <w:rsid w:val="000948BF"/>
    <w:rsid w:val="000A0C5F"/>
    <w:rsid w:val="000A4BEA"/>
    <w:rsid w:val="000A62FC"/>
    <w:rsid w:val="000A776B"/>
    <w:rsid w:val="000B1CE9"/>
    <w:rsid w:val="000B3214"/>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49F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59E8"/>
    <w:rsid w:val="0015014A"/>
    <w:rsid w:val="00153E47"/>
    <w:rsid w:val="001546D0"/>
    <w:rsid w:val="001550E1"/>
    <w:rsid w:val="00155743"/>
    <w:rsid w:val="0015717D"/>
    <w:rsid w:val="001609BF"/>
    <w:rsid w:val="00163529"/>
    <w:rsid w:val="001642DC"/>
    <w:rsid w:val="00164CD4"/>
    <w:rsid w:val="00164E28"/>
    <w:rsid w:val="0016557C"/>
    <w:rsid w:val="00166194"/>
    <w:rsid w:val="00167292"/>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5266"/>
    <w:rsid w:val="002C7F9B"/>
    <w:rsid w:val="002D09FB"/>
    <w:rsid w:val="002D5310"/>
    <w:rsid w:val="002D6FFB"/>
    <w:rsid w:val="002D7060"/>
    <w:rsid w:val="002E42F4"/>
    <w:rsid w:val="002E5668"/>
    <w:rsid w:val="002E6686"/>
    <w:rsid w:val="002E7713"/>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82BBD"/>
    <w:rsid w:val="00384096"/>
    <w:rsid w:val="00386C7E"/>
    <w:rsid w:val="00390133"/>
    <w:rsid w:val="00392A7D"/>
    <w:rsid w:val="00395F2E"/>
    <w:rsid w:val="00396101"/>
    <w:rsid w:val="003973F3"/>
    <w:rsid w:val="003A0ACA"/>
    <w:rsid w:val="003A36D7"/>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6796"/>
    <w:rsid w:val="004877D3"/>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33695"/>
    <w:rsid w:val="0063456F"/>
    <w:rsid w:val="00635A4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0320"/>
    <w:rsid w:val="00703318"/>
    <w:rsid w:val="00704430"/>
    <w:rsid w:val="00705691"/>
    <w:rsid w:val="00711979"/>
    <w:rsid w:val="00713228"/>
    <w:rsid w:val="0071634D"/>
    <w:rsid w:val="00716942"/>
    <w:rsid w:val="007204CD"/>
    <w:rsid w:val="0072517F"/>
    <w:rsid w:val="007262BA"/>
    <w:rsid w:val="007271D7"/>
    <w:rsid w:val="0073245F"/>
    <w:rsid w:val="007359A7"/>
    <w:rsid w:val="00736477"/>
    <w:rsid w:val="00737769"/>
    <w:rsid w:val="007422B9"/>
    <w:rsid w:val="00743804"/>
    <w:rsid w:val="00743DBA"/>
    <w:rsid w:val="0074514E"/>
    <w:rsid w:val="00760CA5"/>
    <w:rsid w:val="00761007"/>
    <w:rsid w:val="007750FC"/>
    <w:rsid w:val="0077672F"/>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4C0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20DED"/>
    <w:rsid w:val="00922222"/>
    <w:rsid w:val="00924B75"/>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103BB"/>
    <w:rsid w:val="00A11778"/>
    <w:rsid w:val="00A136F3"/>
    <w:rsid w:val="00A208A6"/>
    <w:rsid w:val="00A23217"/>
    <w:rsid w:val="00A25CC7"/>
    <w:rsid w:val="00A26050"/>
    <w:rsid w:val="00A273FB"/>
    <w:rsid w:val="00A34F29"/>
    <w:rsid w:val="00A3525D"/>
    <w:rsid w:val="00A374E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68D9"/>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14FE"/>
    <w:rsid w:val="00BE2823"/>
    <w:rsid w:val="00BE5DE1"/>
    <w:rsid w:val="00BF138C"/>
    <w:rsid w:val="00C003DD"/>
    <w:rsid w:val="00C00939"/>
    <w:rsid w:val="00C01117"/>
    <w:rsid w:val="00C012FB"/>
    <w:rsid w:val="00C01F01"/>
    <w:rsid w:val="00C0327A"/>
    <w:rsid w:val="00C0451D"/>
    <w:rsid w:val="00C05273"/>
    <w:rsid w:val="00C057CC"/>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679D0"/>
    <w:rsid w:val="00C700FD"/>
    <w:rsid w:val="00C739FA"/>
    <w:rsid w:val="00C75AE2"/>
    <w:rsid w:val="00C75F2B"/>
    <w:rsid w:val="00C76565"/>
    <w:rsid w:val="00C770F9"/>
    <w:rsid w:val="00C80D26"/>
    <w:rsid w:val="00C814FF"/>
    <w:rsid w:val="00C828A0"/>
    <w:rsid w:val="00C85513"/>
    <w:rsid w:val="00C91A9A"/>
    <w:rsid w:val="00C9303F"/>
    <w:rsid w:val="00C93166"/>
    <w:rsid w:val="00C936AB"/>
    <w:rsid w:val="00C94C84"/>
    <w:rsid w:val="00C951D8"/>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A1FC9"/>
    <w:rsid w:val="00DA6237"/>
    <w:rsid w:val="00DB17BD"/>
    <w:rsid w:val="00DB17FD"/>
    <w:rsid w:val="00DB2BE7"/>
    <w:rsid w:val="00DB491E"/>
    <w:rsid w:val="00DC0DE8"/>
    <w:rsid w:val="00DC1444"/>
    <w:rsid w:val="00DC1770"/>
    <w:rsid w:val="00DC411E"/>
    <w:rsid w:val="00DD634D"/>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446B"/>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84035"/>
    <w:rsid w:val="00F9419F"/>
    <w:rsid w:val="00FA0478"/>
    <w:rsid w:val="00FA16CE"/>
    <w:rsid w:val="00FA3F81"/>
    <w:rsid w:val="00FA6530"/>
    <w:rsid w:val="00FA7196"/>
    <w:rsid w:val="00FA7CCC"/>
    <w:rsid w:val="00FB25A4"/>
    <w:rsid w:val="00FB4266"/>
    <w:rsid w:val="00FB458D"/>
    <w:rsid w:val="00FB6ECB"/>
    <w:rsid w:val="00FC29E6"/>
    <w:rsid w:val="00FC706D"/>
    <w:rsid w:val="00FD00D4"/>
    <w:rsid w:val="00FD3557"/>
    <w:rsid w:val="00FD55D3"/>
    <w:rsid w:val="00FD577F"/>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930161176">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lmarinas.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maa.age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a.agency" TargetMode="External"/><Relationship Id="rId4" Type="http://schemas.openxmlformats.org/officeDocument/2006/relationships/settings" Target="settings.xml"/><Relationship Id="rId9" Type="http://schemas.openxmlformats.org/officeDocument/2006/relationships/hyperlink" Target="http://www.mdlmarinas.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3</cp:revision>
  <cp:lastPrinted>2023-02-21T09:44:00Z</cp:lastPrinted>
  <dcterms:created xsi:type="dcterms:W3CDTF">2025-10-24T11:27:00Z</dcterms:created>
  <dcterms:modified xsi:type="dcterms:W3CDTF">2025-10-24T11:51:00Z</dcterms:modified>
</cp:coreProperties>
</file>