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DC1770" w:rsidRDefault="001C1D36" w:rsidP="00DC1770">
      <w:pPr>
        <w:pStyle w:val="NormalWeb"/>
        <w:spacing w:before="0" w:beforeAutospacing="0" w:after="0" w:afterAutospacing="0" w:line="276" w:lineRule="auto"/>
        <w:rPr>
          <w:rFonts w:ascii="Calibri" w:hAnsi="Calibri" w:cs="Calibri"/>
        </w:rPr>
      </w:pPr>
      <w:r w:rsidRPr="00DC1770">
        <w:rPr>
          <w:rFonts w:ascii="Calibri" w:hAnsi="Calibri" w:cs="Calibri"/>
          <w:b/>
          <w:bCs/>
        </w:rPr>
        <w:t>News Release</w:t>
      </w:r>
    </w:p>
    <w:p w14:paraId="04500935" w14:textId="77777777" w:rsidR="001C1D36" w:rsidRPr="00DC1770" w:rsidRDefault="001C1D36" w:rsidP="00DC1770">
      <w:pPr>
        <w:pStyle w:val="NormalWeb"/>
        <w:spacing w:before="0" w:beforeAutospacing="0" w:after="0" w:afterAutospacing="0" w:line="276" w:lineRule="auto"/>
        <w:rPr>
          <w:rFonts w:ascii="Calibri" w:hAnsi="Calibri" w:cs="Calibri"/>
        </w:rPr>
      </w:pPr>
      <w:r w:rsidRPr="00DC1770">
        <w:rPr>
          <w:rFonts w:ascii="Calibri" w:hAnsi="Calibri" w:cs="Calibri"/>
          <w:b/>
          <w:bCs/>
        </w:rPr>
        <w:t>For Immediate Release</w:t>
      </w:r>
    </w:p>
    <w:p w14:paraId="3921EA1D" w14:textId="047D18B0" w:rsidR="001C1D36" w:rsidRPr="00DC1770" w:rsidRDefault="00386C7E" w:rsidP="00DC1770">
      <w:pPr>
        <w:pStyle w:val="NormalWeb"/>
        <w:spacing w:before="0" w:beforeAutospacing="0" w:after="0" w:afterAutospacing="0" w:line="276" w:lineRule="auto"/>
        <w:rPr>
          <w:rFonts w:ascii="Calibri" w:hAnsi="Calibri" w:cs="Calibri"/>
        </w:rPr>
      </w:pPr>
      <w:r>
        <w:rPr>
          <w:rFonts w:ascii="Calibri" w:hAnsi="Calibri" w:cs="Calibri"/>
          <w:b/>
          <w:bCs/>
        </w:rPr>
        <w:t>26 August</w:t>
      </w:r>
      <w:r w:rsidR="001C1D36" w:rsidRPr="00DC1770">
        <w:rPr>
          <w:rFonts w:ascii="Calibri" w:hAnsi="Calibri" w:cs="Calibri"/>
          <w:b/>
          <w:bCs/>
        </w:rPr>
        <w:t xml:space="preserve"> 202</w:t>
      </w:r>
      <w:r w:rsidR="009402FD" w:rsidRPr="00DC1770">
        <w:rPr>
          <w:rFonts w:ascii="Calibri" w:hAnsi="Calibri" w:cs="Calibri"/>
          <w:b/>
          <w:bCs/>
        </w:rPr>
        <w:t>5</w:t>
      </w:r>
    </w:p>
    <w:p w14:paraId="54DB44CB" w14:textId="77777777" w:rsidR="00DC1770" w:rsidRPr="00DC1770" w:rsidRDefault="00DC1770" w:rsidP="00DC1770">
      <w:pPr>
        <w:pStyle w:val="NormalWeb"/>
        <w:spacing w:before="240" w:beforeAutospacing="0" w:after="240" w:afterAutospacing="0" w:line="276" w:lineRule="auto"/>
        <w:jc w:val="center"/>
        <w:rPr>
          <w:rFonts w:ascii="Calibri" w:hAnsi="Calibri" w:cs="Calibri"/>
        </w:rPr>
      </w:pPr>
      <w:r w:rsidRPr="00DC1770">
        <w:rPr>
          <w:rFonts w:ascii="Calibri" w:hAnsi="Calibri" w:cs="Calibri"/>
          <w:b/>
          <w:bCs/>
        </w:rPr>
        <w:t>MDL Marinas recognised by Monaco Yacht Show’s Blue Wake™ programme for leadership in sustainability</w:t>
      </w:r>
    </w:p>
    <w:p w14:paraId="7AEB032C"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MDL Marinas has been selected as an official participant in Blue Wake™, the Monaco Yacht Show’s initiative spotlighting environmentally sustainable solutions in the superyacht and marina industries. </w:t>
      </w:r>
    </w:p>
    <w:p w14:paraId="24E5B09D"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The recognition follows MDL’s successful application, reviewed by the Water Revolution Foundation, and highlights the company’s leadership in decarbonising marina operations.</w:t>
      </w:r>
    </w:p>
    <w:p w14:paraId="1AB533CE"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Between 2022 and 2025, MDL achieved a 54% reduction in operational carbon emissions, supported by its commitment to 100% renewable electricity and the roll-out of solar PV across 18 marina and boatyard sites. MDL is also the first UK marina operator to apply the internationally recognised BREEAM sustainability framework to marine environments, using the standard to guide refurbishment, new-build and development projects across its estate.</w:t>
      </w:r>
    </w:p>
    <w:p w14:paraId="3491253A"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MDL’s solar programme continues to expand, with installations across its network generating 101,918 kWh (≈102 MWh) in May 2025 alone, its highest monthly output to date. Over the past 12 months, generation has reached 601,128 kWh, delivering an annual saving of more than £144,000 compared with procuring the same electricity from the grid. </w:t>
      </w:r>
    </w:p>
    <w:p w14:paraId="1A6B1D56" w14:textId="5266EE6A" w:rsidR="00B94C24"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 xml:space="preserve">Live solar dashboards showing real-time, site-level performance and cumulative generation can be viewed at: </w:t>
      </w:r>
      <w:hyperlink r:id="rId8" w:history="1">
        <w:r w:rsidR="00F6781D" w:rsidRPr="0035558D">
          <w:rPr>
            <w:rStyle w:val="Hyperlink"/>
            <w:rFonts w:ascii="Calibri" w:hAnsi="Calibri" w:cs="Calibri"/>
          </w:rPr>
          <w:t>www.mdlmarinas.co.uk/marinas/mdl-saxon-wharf/solar/</w:t>
        </w:r>
      </w:hyperlink>
      <w:r w:rsidR="00F6781D">
        <w:rPr>
          <w:rFonts w:ascii="Calibri" w:hAnsi="Calibri" w:cs="Calibri"/>
        </w:rPr>
        <w:t xml:space="preserve"> </w:t>
      </w:r>
      <w:r w:rsidRPr="00DC1770">
        <w:rPr>
          <w:rFonts w:ascii="Calibri" w:hAnsi="Calibri" w:cs="Calibri"/>
        </w:rPr>
        <w:t xml:space="preserve">or </w:t>
      </w:r>
      <w:hyperlink r:id="rId9" w:history="1">
        <w:r w:rsidR="001E2C0E" w:rsidRPr="0035558D">
          <w:rPr>
            <w:rStyle w:val="Hyperlink"/>
            <w:rFonts w:ascii="Calibri" w:hAnsi="Calibri" w:cs="Calibri"/>
          </w:rPr>
          <w:t>www.mdlmarinas.co.uk/marinas/mdl-hamble-point-marina/solar/</w:t>
        </w:r>
      </w:hyperlink>
    </w:p>
    <w:p w14:paraId="2BDD414E"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"Our Blue Wake recognition validates the substantial infrastructure investments we've made in sustainable technologies,” says Steve Russell, Head of Property Infrastructure at MDL Marinas. “The 54% carbon reduction demonstrates that environmental responsibility and operational efficiency go hand in hand. </w:t>
      </w:r>
    </w:p>
    <w:p w14:paraId="621F0A67"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“Our solar programme alone has delivered over £144,000 in annual savings whilst significantly reducing our environmental impact. This achievement reflects our team's commitment to leading sustainable marina development across the UK."</w:t>
      </w:r>
    </w:p>
    <w:p w14:paraId="5BDEECAE" w14:textId="2FF56819" w:rsidR="00DC1770" w:rsidRPr="00DC1770" w:rsidRDefault="00DC1770" w:rsidP="00DC1770">
      <w:pPr>
        <w:pStyle w:val="NormalWeb"/>
        <w:spacing w:before="0" w:beforeAutospacing="0" w:after="0" w:afterAutospacing="0" w:line="276" w:lineRule="auto"/>
        <w:rPr>
          <w:rFonts w:ascii="Calibri" w:hAnsi="Calibri" w:cs="Calibri"/>
        </w:rPr>
      </w:pPr>
      <w:r w:rsidRPr="00DC1770">
        <w:rPr>
          <w:rFonts w:ascii="Calibri" w:hAnsi="Calibri" w:cs="Calibri"/>
        </w:rPr>
        <w:lastRenderedPageBreak/>
        <w:t>Tim Mayer, Sales and Marketing Director at MDL Marinas, adds: “Being recognised as part of the Monaco Yacht Show’s Blue Wake programme is a proud moment for MDL. It reflects the sustained investment we’ve made to reduce our emissions as part of our #greenermarinas strategy, in our mission to become the UK’s most sustainable marina group</w:t>
      </w:r>
      <w:r w:rsidR="00A57F8C">
        <w:rPr>
          <w:rFonts w:ascii="Calibri" w:hAnsi="Calibri" w:cs="Calibri"/>
        </w:rPr>
        <w:t>;</w:t>
      </w:r>
      <w:r w:rsidRPr="00DC1770">
        <w:rPr>
          <w:rFonts w:ascii="Calibri" w:hAnsi="Calibri" w:cs="Calibri"/>
        </w:rPr>
        <w:t xml:space="preserve"> from moving to 100% renewable electricity and scaling on-site solar, to applying BREEAM as the sustainability benchmark for marinas. These actions are helping us not only cut carbon but also build resilience for our customers and tenants.”</w:t>
      </w:r>
    </w:p>
    <w:p w14:paraId="122AB232" w14:textId="74A764F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As a Blue Wake participant, MDL’s sustainability initiatives will be featured across the Monaco Yacht Show’s communication channels, highlighted on the event’s interactive map and considered for the Blue Wake Awards, presented during the show’s Grand Opening Night.</w:t>
      </w:r>
    </w:p>
    <w:p w14:paraId="0B02D99F"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b/>
          <w:bCs/>
        </w:rPr>
        <w:t>Monaco Yacht Show</w:t>
      </w:r>
    </w:p>
    <w:p w14:paraId="076357BF" w14:textId="77777777"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Held each September in Port Hercule, the Monaco Yacht Show (MYS) is the world’s leading luxury yachting exhibition. Renowned for the scale and quality of its yachts, the show attracts private buyers, charterers and industry professionals, while also championing innovative and sustainable solutions for the future of yachting. It is a landmark event in the global yachting calendar.</w:t>
      </w:r>
    </w:p>
    <w:p w14:paraId="0929E998" w14:textId="1DBEB95A" w:rsidR="00DC1770" w:rsidRPr="00DC1770" w:rsidRDefault="00DC1770" w:rsidP="00DC1770">
      <w:pPr>
        <w:pStyle w:val="NormalWeb"/>
        <w:spacing w:before="240" w:beforeAutospacing="0" w:after="240" w:afterAutospacing="0" w:line="276" w:lineRule="auto"/>
        <w:rPr>
          <w:rFonts w:ascii="Calibri" w:hAnsi="Calibri" w:cs="Calibri"/>
        </w:rPr>
      </w:pPr>
      <w:r w:rsidRPr="00DC1770">
        <w:rPr>
          <w:rFonts w:ascii="Calibri" w:hAnsi="Calibri" w:cs="Calibri"/>
        </w:rPr>
        <w:t xml:space="preserve">MDL Marinas will be exhibiting on the </w:t>
      </w:r>
      <w:r w:rsidRPr="00A57F8C">
        <w:rPr>
          <w:rFonts w:ascii="Calibri" w:hAnsi="Calibri" w:cs="Calibri"/>
          <w:b/>
          <w:bCs/>
        </w:rPr>
        <w:t>BM Superyacht UK stand</w:t>
      </w:r>
      <w:r w:rsidRPr="00DC1770">
        <w:rPr>
          <w:rFonts w:ascii="Calibri" w:hAnsi="Calibri" w:cs="Calibri"/>
        </w:rPr>
        <w:t xml:space="preserve"> at the Monaco Yacht Show. Editors and industry partners interested in MDL’s environmental programme, marina development pipeline or BREEAM application are invited to arrange meetings with the team during the event. If interested, please contact Tim Mayer at </w:t>
      </w:r>
      <w:hyperlink r:id="rId10" w:history="1">
        <w:r w:rsidR="00A57F8C" w:rsidRPr="0035558D">
          <w:rPr>
            <w:rStyle w:val="Hyperlink"/>
            <w:rFonts w:ascii="Calibri" w:hAnsi="Calibri" w:cs="Calibri"/>
          </w:rPr>
          <w:t>T.Mayer@mdlmarinas.co.u</w:t>
        </w:r>
        <w:r w:rsidR="00A57F8C" w:rsidRPr="0035558D">
          <w:rPr>
            <w:rStyle w:val="Hyperlink"/>
            <w:rFonts w:ascii="Calibri" w:hAnsi="Calibri" w:cs="Calibri"/>
          </w:rPr>
          <w:t>k</w:t>
        </w:r>
      </w:hyperlink>
      <w:r w:rsidR="00A57F8C">
        <w:rPr>
          <w:rFonts w:ascii="Calibri" w:hAnsi="Calibri" w:cs="Calibri"/>
        </w:rPr>
        <w:t>.</w:t>
      </w:r>
    </w:p>
    <w:p w14:paraId="27F33055" w14:textId="0BE788F5" w:rsidR="00DC1770" w:rsidRPr="00DC1770" w:rsidRDefault="00DC1770" w:rsidP="00DC1770">
      <w:pPr>
        <w:pStyle w:val="NormalWeb"/>
        <w:spacing w:before="0" w:beforeAutospacing="0" w:after="0" w:afterAutospacing="0" w:line="276" w:lineRule="auto"/>
        <w:rPr>
          <w:rFonts w:ascii="Calibri" w:hAnsi="Calibri" w:cs="Calibri"/>
        </w:rPr>
      </w:pPr>
      <w:r w:rsidRPr="00DC1770">
        <w:rPr>
          <w:rFonts w:ascii="Calibri" w:hAnsi="Calibri" w:cs="Calibri"/>
        </w:rPr>
        <w:t xml:space="preserve">For more information about MDL and its marinas, visit </w:t>
      </w:r>
      <w:hyperlink r:id="rId11" w:history="1">
        <w:r w:rsidR="00A57F8C" w:rsidRPr="0035558D">
          <w:rPr>
            <w:rStyle w:val="Hyperlink"/>
            <w:rFonts w:ascii="Calibri" w:hAnsi="Calibri" w:cs="Calibri"/>
          </w:rPr>
          <w:t>w</w:t>
        </w:r>
        <w:r w:rsidR="00A57F8C" w:rsidRPr="0035558D">
          <w:rPr>
            <w:rStyle w:val="Hyperlink"/>
            <w:rFonts w:ascii="Calibri" w:hAnsi="Calibri" w:cs="Calibri"/>
          </w:rPr>
          <w:t>ww.mdlmarinas.co.uk</w:t>
        </w:r>
      </w:hyperlink>
      <w:r w:rsidR="00A57F8C">
        <w:rPr>
          <w:rFonts w:ascii="Calibri" w:hAnsi="Calibri" w:cs="Calibri"/>
        </w:rPr>
        <w:t>.</w:t>
      </w:r>
    </w:p>
    <w:p w14:paraId="3791E4A0" w14:textId="77777777" w:rsidR="00DC1770" w:rsidRPr="00DC1770" w:rsidRDefault="00DC1770" w:rsidP="00DC1770">
      <w:pPr>
        <w:spacing w:line="276" w:lineRule="auto"/>
        <w:rPr>
          <w:rFonts w:ascii="Calibri" w:hAnsi="Calibri" w:cs="Calibri"/>
        </w:rPr>
      </w:pPr>
    </w:p>
    <w:p w14:paraId="72FCAD5B" w14:textId="77777777" w:rsidR="00DC1770" w:rsidRPr="00DC1770" w:rsidRDefault="00DC1770" w:rsidP="00DC1770">
      <w:pPr>
        <w:pStyle w:val="NormalWeb"/>
        <w:spacing w:before="0" w:beforeAutospacing="0" w:after="0" w:afterAutospacing="0" w:line="276" w:lineRule="auto"/>
        <w:rPr>
          <w:rFonts w:ascii="Calibri" w:hAnsi="Calibri" w:cs="Calibri"/>
        </w:rPr>
      </w:pPr>
      <w:r w:rsidRPr="00DC1770">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lastRenderedPageBreak/>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2"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3"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4"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3018" w14:textId="77777777" w:rsidR="009F0F1C" w:rsidRDefault="009F0F1C" w:rsidP="002754A6">
      <w:r>
        <w:separator/>
      </w:r>
    </w:p>
  </w:endnote>
  <w:endnote w:type="continuationSeparator" w:id="0">
    <w:p w14:paraId="31F33B9E" w14:textId="77777777" w:rsidR="009F0F1C" w:rsidRDefault="009F0F1C" w:rsidP="002754A6">
      <w:r>
        <w:continuationSeparator/>
      </w:r>
    </w:p>
  </w:endnote>
  <w:endnote w:type="continuationNotice" w:id="1">
    <w:p w14:paraId="334F0F70" w14:textId="77777777" w:rsidR="009F0F1C" w:rsidRDefault="009F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813D" w14:textId="77777777" w:rsidR="009F0F1C" w:rsidRDefault="009F0F1C" w:rsidP="002754A6">
      <w:r>
        <w:separator/>
      </w:r>
    </w:p>
  </w:footnote>
  <w:footnote w:type="continuationSeparator" w:id="0">
    <w:p w14:paraId="44AC4CF5" w14:textId="77777777" w:rsidR="009F0F1C" w:rsidRDefault="009F0F1C" w:rsidP="002754A6">
      <w:r>
        <w:continuationSeparator/>
      </w:r>
    </w:p>
  </w:footnote>
  <w:footnote w:type="continuationNotice" w:id="1">
    <w:p w14:paraId="2C119F36" w14:textId="77777777" w:rsidR="009F0F1C" w:rsidRDefault="009F0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1292144E" w:rsidR="002754A6" w:rsidRDefault="00DC1770">
    <w:pPr>
      <w:pStyle w:val="Header"/>
    </w:pPr>
    <w:r>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6D1A5B5">
          <wp:simplePos x="0" y="0"/>
          <wp:positionH relativeFrom="column">
            <wp:posOffset>-13077</wp:posOffset>
          </wp:positionH>
          <wp:positionV relativeFrom="paragraph">
            <wp:posOffset>-245567</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1">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1" behindDoc="0" locked="0" layoutInCell="1" allowOverlap="1" wp14:anchorId="5F3B6A3E" wp14:editId="6E2EA78C">
          <wp:simplePos x="0" y="0"/>
          <wp:positionH relativeFrom="column">
            <wp:posOffset>4501289</wp:posOffset>
          </wp:positionH>
          <wp:positionV relativeFrom="paragraph">
            <wp:posOffset>-72264</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48840" cy="45279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p w14:paraId="13287F76" w14:textId="77777777" w:rsidR="00DC1770" w:rsidRDefault="00DC1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2C0E"/>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86C7E"/>
    <w:rsid w:val="00390133"/>
    <w:rsid w:val="00392A7D"/>
    <w:rsid w:val="00395F2E"/>
    <w:rsid w:val="00396101"/>
    <w:rsid w:val="003973F3"/>
    <w:rsid w:val="003A0ACA"/>
    <w:rsid w:val="003A36D7"/>
    <w:rsid w:val="003A7B3F"/>
    <w:rsid w:val="003B05AA"/>
    <w:rsid w:val="003B5057"/>
    <w:rsid w:val="003C0CDA"/>
    <w:rsid w:val="003C35A4"/>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0A5B"/>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2E5C"/>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0F1C"/>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57F8C"/>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1181"/>
    <w:rsid w:val="00B0279A"/>
    <w:rsid w:val="00B03624"/>
    <w:rsid w:val="00B04267"/>
    <w:rsid w:val="00B04653"/>
    <w:rsid w:val="00B05894"/>
    <w:rsid w:val="00B0766A"/>
    <w:rsid w:val="00B1289E"/>
    <w:rsid w:val="00B15D6B"/>
    <w:rsid w:val="00B16CEF"/>
    <w:rsid w:val="00B21718"/>
    <w:rsid w:val="00B277B7"/>
    <w:rsid w:val="00B27BEF"/>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4C24"/>
    <w:rsid w:val="00B95299"/>
    <w:rsid w:val="00B95C86"/>
    <w:rsid w:val="00B9662F"/>
    <w:rsid w:val="00B968CC"/>
    <w:rsid w:val="00B972DD"/>
    <w:rsid w:val="00B97EB9"/>
    <w:rsid w:val="00BA39B4"/>
    <w:rsid w:val="00BA6904"/>
    <w:rsid w:val="00BB015B"/>
    <w:rsid w:val="00BB0F52"/>
    <w:rsid w:val="00BB1CFE"/>
    <w:rsid w:val="00BB43EB"/>
    <w:rsid w:val="00BB44BC"/>
    <w:rsid w:val="00BC0378"/>
    <w:rsid w:val="00BC572F"/>
    <w:rsid w:val="00BC60C3"/>
    <w:rsid w:val="00BD09BB"/>
    <w:rsid w:val="00BD0CD2"/>
    <w:rsid w:val="00BD58F0"/>
    <w:rsid w:val="00BD7064"/>
    <w:rsid w:val="00BE14FE"/>
    <w:rsid w:val="00BE2823"/>
    <w:rsid w:val="00BE5DE1"/>
    <w:rsid w:val="00BF138C"/>
    <w:rsid w:val="00C003DD"/>
    <w:rsid w:val="00C00939"/>
    <w:rsid w:val="00C01117"/>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C4672"/>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1770"/>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02B4"/>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5560A"/>
    <w:rsid w:val="00F60FBC"/>
    <w:rsid w:val="00F621D4"/>
    <w:rsid w:val="00F62FA6"/>
    <w:rsid w:val="00F63822"/>
    <w:rsid w:val="00F66B0E"/>
    <w:rsid w:val="00F675B4"/>
    <w:rsid w:val="00F6781D"/>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49768245">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97464999">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marinas/mdl-saxon-wharf/solar/" TargetMode="External"/><Relationship Id="rId13" Type="http://schemas.openxmlformats.org/officeDocument/2006/relationships/hyperlink" Target="http://www.maa.agen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marina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lmarina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Mayer@mdlmarinas.co.uk" TargetMode="External"/><Relationship Id="rId4" Type="http://schemas.openxmlformats.org/officeDocument/2006/relationships/settings" Target="settings.xml"/><Relationship Id="rId9" Type="http://schemas.openxmlformats.org/officeDocument/2006/relationships/hyperlink" Target="http://www.mdlmarinas.co.uk/marinas/mdl-hamble-point-marina/solar/" TargetMode="External"/><Relationship Id="rId14" Type="http://schemas.openxmlformats.org/officeDocument/2006/relationships/hyperlink" Target="mailto:mike@maa.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2023-02-21T09:44:00Z</cp:lastPrinted>
  <dcterms:created xsi:type="dcterms:W3CDTF">2025-08-26T11:55:00Z</dcterms:created>
  <dcterms:modified xsi:type="dcterms:W3CDTF">2025-08-26T12:02:00Z</dcterms:modified>
</cp:coreProperties>
</file>