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04B846E7" w:rsidR="001C1D36" w:rsidRPr="003E417F" w:rsidRDefault="001C1D36" w:rsidP="003E417F">
      <w:pPr>
        <w:pStyle w:val="NormalWeb"/>
        <w:spacing w:before="0" w:beforeAutospacing="0" w:after="0" w:afterAutospacing="0" w:line="276" w:lineRule="auto"/>
        <w:rPr>
          <w:rFonts w:ascii="Calibri" w:hAnsi="Calibri" w:cs="Calibri"/>
        </w:rPr>
      </w:pPr>
      <w:r w:rsidRPr="003E417F">
        <w:rPr>
          <w:rFonts w:ascii="Calibri" w:hAnsi="Calibri" w:cs="Calibri"/>
          <w:b/>
          <w:bCs/>
        </w:rPr>
        <w:t>News Release</w:t>
      </w:r>
    </w:p>
    <w:p w14:paraId="04500935" w14:textId="77777777" w:rsidR="001C1D36" w:rsidRPr="003E417F" w:rsidRDefault="001C1D36" w:rsidP="003E417F">
      <w:pPr>
        <w:pStyle w:val="NormalWeb"/>
        <w:spacing w:before="0" w:beforeAutospacing="0" w:after="0" w:afterAutospacing="0" w:line="276" w:lineRule="auto"/>
        <w:rPr>
          <w:rFonts w:ascii="Calibri" w:hAnsi="Calibri" w:cs="Calibri"/>
        </w:rPr>
      </w:pPr>
      <w:r w:rsidRPr="003E417F">
        <w:rPr>
          <w:rFonts w:ascii="Calibri" w:hAnsi="Calibri" w:cs="Calibri"/>
          <w:b/>
          <w:bCs/>
        </w:rPr>
        <w:t>For Immediate Release</w:t>
      </w:r>
    </w:p>
    <w:p w14:paraId="0D7DFB44" w14:textId="5AA9605F" w:rsidR="001C1D36" w:rsidRPr="003E417F" w:rsidRDefault="00203245" w:rsidP="003E417F">
      <w:pPr>
        <w:pStyle w:val="NormalWeb"/>
        <w:spacing w:before="0" w:beforeAutospacing="0" w:after="0" w:afterAutospacing="0" w:line="276" w:lineRule="auto"/>
        <w:rPr>
          <w:rFonts w:ascii="Calibri" w:hAnsi="Calibri" w:cs="Calibri"/>
        </w:rPr>
      </w:pPr>
      <w:r w:rsidRPr="003E417F">
        <w:rPr>
          <w:rFonts w:ascii="Calibri" w:hAnsi="Calibri" w:cs="Calibri"/>
          <w:b/>
          <w:bCs/>
        </w:rPr>
        <w:t>1</w:t>
      </w:r>
      <w:r w:rsidR="005C42A0">
        <w:rPr>
          <w:rFonts w:ascii="Calibri" w:hAnsi="Calibri" w:cs="Calibri"/>
          <w:b/>
          <w:bCs/>
        </w:rPr>
        <w:t>8</w:t>
      </w:r>
      <w:r w:rsidR="001A740E" w:rsidRPr="003E417F">
        <w:rPr>
          <w:rFonts w:ascii="Calibri" w:hAnsi="Calibri" w:cs="Calibri"/>
          <w:b/>
          <w:bCs/>
        </w:rPr>
        <w:t xml:space="preserve"> June</w:t>
      </w:r>
      <w:r w:rsidR="001C1D36" w:rsidRPr="003E417F">
        <w:rPr>
          <w:rFonts w:ascii="Calibri" w:hAnsi="Calibri" w:cs="Calibri"/>
          <w:b/>
          <w:bCs/>
        </w:rPr>
        <w:t xml:space="preserve"> 202</w:t>
      </w:r>
      <w:r w:rsidR="009402FD" w:rsidRPr="003E417F">
        <w:rPr>
          <w:rFonts w:ascii="Calibri" w:hAnsi="Calibri" w:cs="Calibri"/>
          <w:b/>
          <w:bCs/>
        </w:rPr>
        <w:t>5</w:t>
      </w:r>
    </w:p>
    <w:p w14:paraId="3921EA1D" w14:textId="2E9B3F6A" w:rsidR="001C1D36" w:rsidRPr="003E417F" w:rsidRDefault="001C1D36" w:rsidP="003E417F">
      <w:pPr>
        <w:pStyle w:val="NormalWeb"/>
        <w:spacing w:before="0" w:beforeAutospacing="0" w:after="0" w:afterAutospacing="0" w:line="276" w:lineRule="auto"/>
        <w:ind w:left="360"/>
        <w:rPr>
          <w:rFonts w:ascii="Calibri" w:hAnsi="Calibri" w:cs="Calibri"/>
        </w:rPr>
      </w:pPr>
      <w:r w:rsidRPr="003E417F">
        <w:rPr>
          <w:rFonts w:ascii="Calibri" w:hAnsi="Calibri" w:cs="Calibri"/>
          <w:b/>
          <w:bCs/>
        </w:rPr>
        <w:t> </w:t>
      </w:r>
    </w:p>
    <w:p w14:paraId="210C33C3" w14:textId="77777777" w:rsidR="003E417F" w:rsidRPr="003E417F" w:rsidRDefault="003E417F" w:rsidP="003E417F">
      <w:pPr>
        <w:pStyle w:val="NormalWeb"/>
        <w:spacing w:before="0" w:beforeAutospacing="0" w:after="0" w:afterAutospacing="0" w:line="276" w:lineRule="auto"/>
        <w:jc w:val="center"/>
        <w:rPr>
          <w:rFonts w:ascii="Calibri" w:hAnsi="Calibri" w:cs="Calibri"/>
        </w:rPr>
      </w:pPr>
      <w:r w:rsidRPr="003E417F">
        <w:rPr>
          <w:rFonts w:ascii="Calibri" w:hAnsi="Calibri" w:cs="Calibri"/>
          <w:b/>
          <w:bCs/>
        </w:rPr>
        <w:t xml:space="preserve">MDL Marinas enhances lifting capabilities at </w:t>
      </w:r>
      <w:proofErr w:type="spellStart"/>
      <w:r w:rsidRPr="003E417F">
        <w:rPr>
          <w:rFonts w:ascii="Calibri" w:hAnsi="Calibri" w:cs="Calibri"/>
          <w:b/>
          <w:bCs/>
        </w:rPr>
        <w:t>Northney</w:t>
      </w:r>
      <w:proofErr w:type="spellEnd"/>
      <w:r w:rsidRPr="003E417F">
        <w:rPr>
          <w:rFonts w:ascii="Calibri" w:hAnsi="Calibri" w:cs="Calibri"/>
          <w:b/>
          <w:bCs/>
        </w:rPr>
        <w:t xml:space="preserve"> Marina with powerful 35-ton hoist</w:t>
      </w:r>
    </w:p>
    <w:p w14:paraId="6C2A81D9"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35C46302"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xml:space="preserve">MDL Marinas has significantly upgraded its lifting operations at </w:t>
      </w:r>
      <w:proofErr w:type="spellStart"/>
      <w:r w:rsidRPr="003E417F">
        <w:rPr>
          <w:rFonts w:ascii="Calibri" w:hAnsi="Calibri" w:cs="Calibri"/>
        </w:rPr>
        <w:t>Northney</w:t>
      </w:r>
      <w:proofErr w:type="spellEnd"/>
      <w:r w:rsidRPr="003E417F">
        <w:rPr>
          <w:rFonts w:ascii="Calibri" w:hAnsi="Calibri" w:cs="Calibri"/>
        </w:rPr>
        <w:t xml:space="preserve"> Marina with the addition of a powerful 35-ton hoist, following a £400,000 investment. Since its installation earlier this year, the hoist has already made a notable impact, enabling the safe and efficient handling of larger vessels, streamlining daily operations for the marina team and enhancing the overall service experience for customers.</w:t>
      </w:r>
    </w:p>
    <w:p w14:paraId="4A172343"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74B08B84"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xml:space="preserve">Supplied by industry leader Marine </w:t>
      </w:r>
      <w:proofErr w:type="spellStart"/>
      <w:r w:rsidRPr="003E417F">
        <w:rPr>
          <w:rFonts w:ascii="Calibri" w:hAnsi="Calibri" w:cs="Calibri"/>
        </w:rPr>
        <w:t>Travelift</w:t>
      </w:r>
      <w:proofErr w:type="spellEnd"/>
      <w:r w:rsidRPr="003E417F">
        <w:rPr>
          <w:rFonts w:ascii="Calibri" w:hAnsi="Calibri" w:cs="Calibri"/>
        </w:rPr>
        <w:t>, the hoist features an extended beam and remote-control functionality, improving both safety and the speed and precision of lifting operations.</w:t>
      </w:r>
    </w:p>
    <w:p w14:paraId="33E5406A"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7CE4E6EA"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xml:space="preserve">“This equipment is a game-changer for us,” says Tom Ward, Marina Manager at </w:t>
      </w:r>
      <w:proofErr w:type="spellStart"/>
      <w:r w:rsidRPr="003E417F">
        <w:rPr>
          <w:rFonts w:ascii="Calibri" w:hAnsi="Calibri" w:cs="Calibri"/>
        </w:rPr>
        <w:t>Northney</w:t>
      </w:r>
      <w:proofErr w:type="spellEnd"/>
      <w:r w:rsidRPr="003E417F">
        <w:rPr>
          <w:rFonts w:ascii="Calibri" w:hAnsi="Calibri" w:cs="Calibri"/>
        </w:rPr>
        <w:t xml:space="preserve"> Marina. “The new hoist allows us to support a wider range of vessels and deliver an even better service to our berth holders and visitors. Its speed, power and ease of operation have already made a big difference to the way we work and support our customers.”</w:t>
      </w:r>
    </w:p>
    <w:p w14:paraId="747B98FD"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44A91706"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xml:space="preserve">Stephan </w:t>
      </w:r>
      <w:proofErr w:type="spellStart"/>
      <w:r w:rsidRPr="003E417F">
        <w:rPr>
          <w:rFonts w:ascii="Calibri" w:hAnsi="Calibri" w:cs="Calibri"/>
        </w:rPr>
        <w:t>Chayer</w:t>
      </w:r>
      <w:proofErr w:type="spellEnd"/>
      <w:r w:rsidRPr="003E417F">
        <w:rPr>
          <w:rFonts w:ascii="Calibri" w:hAnsi="Calibri" w:cs="Calibri"/>
        </w:rPr>
        <w:t xml:space="preserve">, Managing Director of International Sales at Marine </w:t>
      </w:r>
      <w:proofErr w:type="spellStart"/>
      <w:r w:rsidRPr="003E417F">
        <w:rPr>
          <w:rFonts w:ascii="Calibri" w:hAnsi="Calibri" w:cs="Calibri"/>
        </w:rPr>
        <w:t>Travelift</w:t>
      </w:r>
      <w:proofErr w:type="spellEnd"/>
      <w:r w:rsidRPr="003E417F">
        <w:rPr>
          <w:rFonts w:ascii="Calibri" w:hAnsi="Calibri" w:cs="Calibri"/>
        </w:rPr>
        <w:t xml:space="preserve">, adds: “We’re proud to partner with MDL Marinas on this project. The 35-ton hoist at </w:t>
      </w:r>
      <w:proofErr w:type="spellStart"/>
      <w:r w:rsidRPr="003E417F">
        <w:rPr>
          <w:rFonts w:ascii="Calibri" w:hAnsi="Calibri" w:cs="Calibri"/>
        </w:rPr>
        <w:t>Northney</w:t>
      </w:r>
      <w:proofErr w:type="spellEnd"/>
      <w:r w:rsidRPr="003E417F">
        <w:rPr>
          <w:rFonts w:ascii="Calibri" w:hAnsi="Calibri" w:cs="Calibri"/>
        </w:rPr>
        <w:t xml:space="preserve"> is a great example of how modern equipment can transform marina operations, offering precision, safety and speed. We’re confident it will serve the marina and its customers exceptionally well for many years to come.”</w:t>
      </w:r>
    </w:p>
    <w:p w14:paraId="25E5176D"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60C066B2"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b/>
          <w:bCs/>
        </w:rPr>
        <w:t>Summer Offers </w:t>
      </w:r>
    </w:p>
    <w:p w14:paraId="50309A0C"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7392A0F6"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xml:space="preserve">Throughout the summer, boaters can take advantage of Summer Scrub offers at </w:t>
      </w:r>
      <w:proofErr w:type="spellStart"/>
      <w:r w:rsidRPr="003E417F">
        <w:rPr>
          <w:rFonts w:ascii="Calibri" w:hAnsi="Calibri" w:cs="Calibri"/>
        </w:rPr>
        <w:t>Northney</w:t>
      </w:r>
      <w:proofErr w:type="spellEnd"/>
      <w:r w:rsidRPr="003E417F">
        <w:rPr>
          <w:rFonts w:ascii="Calibri" w:hAnsi="Calibri" w:cs="Calibri"/>
        </w:rPr>
        <w:t xml:space="preserve"> Marina and other MDL locations. These seasonal promotions provide up to 30% off essential lift and wash services, perfect for keeping your boat in top condition while enjoying great savings. </w:t>
      </w:r>
    </w:p>
    <w:p w14:paraId="5B35FF11"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41871933"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xml:space="preserve">Two service options are available as part of the promotion. The first includes a lift, hold, pressure wash and relaunch, perfect for quick turnaround maintenance work or a summer </w:t>
      </w:r>
      <w:r w:rsidRPr="003E417F">
        <w:rPr>
          <w:rFonts w:ascii="Calibri" w:hAnsi="Calibri" w:cs="Calibri"/>
        </w:rPr>
        <w:lastRenderedPageBreak/>
        <w:t>refresh. Alternatively, boaters can opt for a more comprehensive package, which adds one week ashore to allow time for more in-depth work or inspection before relaunching.</w:t>
      </w:r>
    </w:p>
    <w:p w14:paraId="76DE9430"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w:t>
      </w:r>
    </w:p>
    <w:p w14:paraId="53E7ED66"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rPr>
        <w:t xml:space="preserve">Whether preparing for summer cruising or carrying out essential maintenance, these offers provide a cost-effective opportunity to take full advantage of </w:t>
      </w:r>
      <w:proofErr w:type="spellStart"/>
      <w:r w:rsidRPr="003E417F">
        <w:rPr>
          <w:rFonts w:ascii="Calibri" w:hAnsi="Calibri" w:cs="Calibri"/>
        </w:rPr>
        <w:t>Northney’s</w:t>
      </w:r>
      <w:proofErr w:type="spellEnd"/>
      <w:r w:rsidRPr="003E417F">
        <w:rPr>
          <w:rFonts w:ascii="Calibri" w:hAnsi="Calibri" w:cs="Calibri"/>
        </w:rPr>
        <w:t xml:space="preserve"> upgraded facilities.</w:t>
      </w:r>
    </w:p>
    <w:p w14:paraId="038B348E" w14:textId="77777777" w:rsidR="003E417F" w:rsidRPr="003E417F" w:rsidRDefault="003E417F" w:rsidP="003E417F">
      <w:pPr>
        <w:pStyle w:val="NormalWeb"/>
        <w:spacing w:before="240" w:beforeAutospacing="0" w:after="240" w:afterAutospacing="0" w:line="276" w:lineRule="auto"/>
        <w:rPr>
          <w:rFonts w:ascii="Calibri" w:hAnsi="Calibri" w:cs="Calibri"/>
        </w:rPr>
      </w:pPr>
      <w:proofErr w:type="spellStart"/>
      <w:r w:rsidRPr="003E417F">
        <w:rPr>
          <w:rFonts w:ascii="Calibri" w:hAnsi="Calibri" w:cs="Calibri"/>
          <w:b/>
          <w:bCs/>
        </w:rPr>
        <w:t>Northney</w:t>
      </w:r>
      <w:proofErr w:type="spellEnd"/>
      <w:r w:rsidRPr="003E417F">
        <w:rPr>
          <w:rFonts w:ascii="Calibri" w:hAnsi="Calibri" w:cs="Calibri"/>
          <w:b/>
          <w:bCs/>
        </w:rPr>
        <w:t xml:space="preserve"> Marina</w:t>
      </w:r>
    </w:p>
    <w:p w14:paraId="0E6BDE8A" w14:textId="77777777" w:rsidR="003E417F" w:rsidRPr="003E417F" w:rsidRDefault="003E417F" w:rsidP="003E417F">
      <w:pPr>
        <w:pStyle w:val="NormalWeb"/>
        <w:spacing w:before="240" w:beforeAutospacing="0" w:after="240" w:afterAutospacing="0" w:line="276" w:lineRule="auto"/>
        <w:rPr>
          <w:rFonts w:ascii="Calibri" w:hAnsi="Calibri" w:cs="Calibri"/>
        </w:rPr>
      </w:pPr>
      <w:r w:rsidRPr="003E417F">
        <w:rPr>
          <w:rFonts w:ascii="Calibri" w:hAnsi="Calibri" w:cs="Calibri"/>
        </w:rPr>
        <w:t xml:space="preserve">Located on the north shore of Hayling Island on the UK’s South Coast, </w:t>
      </w:r>
      <w:proofErr w:type="spellStart"/>
      <w:r w:rsidRPr="003E417F">
        <w:rPr>
          <w:rFonts w:ascii="Calibri" w:hAnsi="Calibri" w:cs="Calibri"/>
        </w:rPr>
        <w:t>Northney</w:t>
      </w:r>
      <w:proofErr w:type="spellEnd"/>
      <w:r w:rsidRPr="003E417F">
        <w:rPr>
          <w:rFonts w:ascii="Calibri" w:hAnsi="Calibri" w:cs="Calibri"/>
        </w:rPr>
        <w:t xml:space="preserve"> Marina features over 200 fully serviced berths, modern shower and toilet facilities, ample parking, and a welcoming on-site café. Accessible at all states of tide, the marina offers boaters a blend of convenience and peace of mind, with stunning views and direct access to Chichester Harbour and the Solent.</w:t>
      </w:r>
    </w:p>
    <w:p w14:paraId="5B451B63" w14:textId="77777777" w:rsidR="003E417F" w:rsidRPr="003E417F" w:rsidRDefault="003E417F" w:rsidP="003E417F">
      <w:pPr>
        <w:pStyle w:val="NormalWeb"/>
        <w:spacing w:before="240" w:beforeAutospacing="0" w:after="240" w:afterAutospacing="0" w:line="276" w:lineRule="auto"/>
        <w:rPr>
          <w:rFonts w:ascii="Calibri" w:hAnsi="Calibri" w:cs="Calibri"/>
        </w:rPr>
      </w:pPr>
      <w:r w:rsidRPr="003E417F">
        <w:rPr>
          <w:rFonts w:ascii="Calibri" w:hAnsi="Calibri" w:cs="Calibri"/>
        </w:rPr>
        <w:t xml:space="preserve">Its combination of tranquil surroundings and high-quality facilities makes </w:t>
      </w:r>
      <w:proofErr w:type="spellStart"/>
      <w:r w:rsidRPr="003E417F">
        <w:rPr>
          <w:rFonts w:ascii="Calibri" w:hAnsi="Calibri" w:cs="Calibri"/>
        </w:rPr>
        <w:t>Northney</w:t>
      </w:r>
      <w:proofErr w:type="spellEnd"/>
      <w:r w:rsidRPr="003E417F">
        <w:rPr>
          <w:rFonts w:ascii="Calibri" w:hAnsi="Calibri" w:cs="Calibri"/>
        </w:rPr>
        <w:t xml:space="preserve"> a preferred destination for both cruising and maintenance.</w:t>
      </w:r>
    </w:p>
    <w:p w14:paraId="05389B35" w14:textId="099BA4E3" w:rsidR="003E417F" w:rsidRPr="003E417F" w:rsidRDefault="003E417F" w:rsidP="003E417F">
      <w:pPr>
        <w:pStyle w:val="NormalWeb"/>
        <w:spacing w:before="240" w:beforeAutospacing="0" w:after="240" w:afterAutospacing="0" w:line="276" w:lineRule="auto"/>
        <w:rPr>
          <w:rFonts w:ascii="Calibri" w:hAnsi="Calibri" w:cs="Calibri"/>
        </w:rPr>
      </w:pPr>
      <w:r w:rsidRPr="003E417F">
        <w:rPr>
          <w:rFonts w:ascii="Calibri" w:hAnsi="Calibri" w:cs="Calibri"/>
        </w:rPr>
        <w:t xml:space="preserve">For more information on summer offers at </w:t>
      </w:r>
      <w:proofErr w:type="spellStart"/>
      <w:r w:rsidRPr="003E417F">
        <w:rPr>
          <w:rFonts w:ascii="Calibri" w:hAnsi="Calibri" w:cs="Calibri"/>
        </w:rPr>
        <w:t>Northney</w:t>
      </w:r>
      <w:proofErr w:type="spellEnd"/>
      <w:r w:rsidRPr="003E417F">
        <w:rPr>
          <w:rFonts w:ascii="Calibri" w:hAnsi="Calibri" w:cs="Calibri"/>
        </w:rPr>
        <w:t xml:space="preserve"> Marina and other selected MDL Marinas, visit: </w:t>
      </w:r>
      <w:hyperlink r:id="rId8" w:history="1">
        <w:r w:rsidRPr="00661FC0">
          <w:rPr>
            <w:rStyle w:val="Hyperlink"/>
            <w:rFonts w:ascii="Calibri" w:hAnsi="Calibri" w:cs="Calibri"/>
          </w:rPr>
          <w:t>www.mdlmarinas.co.uk/summer/</w:t>
        </w:r>
      </w:hyperlink>
    </w:p>
    <w:p w14:paraId="67A6E57E" w14:textId="582E376A" w:rsidR="003E417F" w:rsidRPr="003E417F" w:rsidRDefault="003E417F" w:rsidP="003E417F">
      <w:pPr>
        <w:pStyle w:val="NormalWeb"/>
        <w:spacing w:before="240" w:beforeAutospacing="0" w:after="240" w:afterAutospacing="0" w:line="276" w:lineRule="auto"/>
        <w:rPr>
          <w:rFonts w:ascii="Calibri" w:hAnsi="Calibri" w:cs="Calibri"/>
        </w:rPr>
      </w:pPr>
      <w:r w:rsidRPr="003E417F">
        <w:rPr>
          <w:rFonts w:ascii="Calibri" w:hAnsi="Calibri" w:cs="Calibri"/>
        </w:rPr>
        <w:t xml:space="preserve">To learn more about MDL Marinas’ 18 UK waterside destinations, visit: </w:t>
      </w:r>
      <w:hyperlink r:id="rId9" w:history="1">
        <w:r w:rsidRPr="00661FC0">
          <w:rPr>
            <w:rStyle w:val="Hyperlink"/>
            <w:rFonts w:ascii="Calibri" w:hAnsi="Calibri" w:cs="Calibri"/>
          </w:rPr>
          <w:t>www.mdlmarinas.co.uk</w:t>
        </w:r>
      </w:hyperlink>
    </w:p>
    <w:p w14:paraId="08BEF72E" w14:textId="77777777" w:rsidR="003E417F" w:rsidRPr="003E417F" w:rsidRDefault="003E417F" w:rsidP="003E417F">
      <w:pPr>
        <w:pStyle w:val="NormalWeb"/>
        <w:spacing w:before="0" w:beforeAutospacing="0" w:after="0" w:afterAutospacing="0" w:line="276" w:lineRule="auto"/>
        <w:rPr>
          <w:rFonts w:ascii="Calibri" w:hAnsi="Calibri" w:cs="Calibri"/>
        </w:rPr>
      </w:pPr>
      <w:r w:rsidRPr="003E417F">
        <w:rPr>
          <w:rFonts w:ascii="Calibri" w:hAnsi="Calibri" w:cs="Calibri"/>
          <w:b/>
          <w:bCs/>
        </w:rPr>
        <w:t>ENDS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0"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lastRenderedPageBreak/>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1"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2"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3C579E8B" w14:textId="77777777" w:rsidR="0077672F" w:rsidRPr="003B05AA" w:rsidRDefault="0077672F" w:rsidP="003B05AA">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F867" w14:textId="77777777" w:rsidR="0042551C" w:rsidRDefault="0042551C" w:rsidP="002754A6">
      <w:r>
        <w:separator/>
      </w:r>
    </w:p>
  </w:endnote>
  <w:endnote w:type="continuationSeparator" w:id="0">
    <w:p w14:paraId="6FEBEB97" w14:textId="77777777" w:rsidR="0042551C" w:rsidRDefault="0042551C" w:rsidP="002754A6">
      <w:r>
        <w:continuationSeparator/>
      </w:r>
    </w:p>
  </w:endnote>
  <w:endnote w:type="continuationNotice" w:id="1">
    <w:p w14:paraId="23226B4E" w14:textId="77777777" w:rsidR="0042551C" w:rsidRDefault="00425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1821" w14:textId="77777777" w:rsidR="0042551C" w:rsidRDefault="0042551C" w:rsidP="002754A6">
      <w:r>
        <w:separator/>
      </w:r>
    </w:p>
  </w:footnote>
  <w:footnote w:type="continuationSeparator" w:id="0">
    <w:p w14:paraId="75A730D8" w14:textId="77777777" w:rsidR="0042551C" w:rsidRDefault="0042551C" w:rsidP="002754A6">
      <w:r>
        <w:continuationSeparator/>
      </w:r>
    </w:p>
  </w:footnote>
  <w:footnote w:type="continuationNotice" w:id="1">
    <w:p w14:paraId="557B4BF5" w14:textId="77777777" w:rsidR="0042551C" w:rsidRDefault="00425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66B1"/>
    <w:rsid w:val="000F097A"/>
    <w:rsid w:val="000F3294"/>
    <w:rsid w:val="000F3BC7"/>
    <w:rsid w:val="000F466D"/>
    <w:rsid w:val="000F6AB2"/>
    <w:rsid w:val="000F799E"/>
    <w:rsid w:val="00103121"/>
    <w:rsid w:val="00113C1F"/>
    <w:rsid w:val="00115221"/>
    <w:rsid w:val="0011758F"/>
    <w:rsid w:val="001176BE"/>
    <w:rsid w:val="00120E08"/>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36460"/>
    <w:rsid w:val="002425E7"/>
    <w:rsid w:val="00247589"/>
    <w:rsid w:val="0025336D"/>
    <w:rsid w:val="0025612E"/>
    <w:rsid w:val="00256F15"/>
    <w:rsid w:val="0026046D"/>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15E5"/>
    <w:rsid w:val="00372A22"/>
    <w:rsid w:val="00374D52"/>
    <w:rsid w:val="00374EFB"/>
    <w:rsid w:val="00375E26"/>
    <w:rsid w:val="00375F59"/>
    <w:rsid w:val="00382BBD"/>
    <w:rsid w:val="00384096"/>
    <w:rsid w:val="00390133"/>
    <w:rsid w:val="00392A7D"/>
    <w:rsid w:val="00395F2E"/>
    <w:rsid w:val="00396101"/>
    <w:rsid w:val="003973F3"/>
    <w:rsid w:val="003A0ACA"/>
    <w:rsid w:val="003A36D7"/>
    <w:rsid w:val="003A7B3F"/>
    <w:rsid w:val="003B05AA"/>
    <w:rsid w:val="003B5057"/>
    <w:rsid w:val="003C0CDA"/>
    <w:rsid w:val="003C5BAF"/>
    <w:rsid w:val="003D2D05"/>
    <w:rsid w:val="003D32CB"/>
    <w:rsid w:val="003D603D"/>
    <w:rsid w:val="003D6DB4"/>
    <w:rsid w:val="003D7D8D"/>
    <w:rsid w:val="003E1256"/>
    <w:rsid w:val="003E417F"/>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2551C"/>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A9A"/>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819BD"/>
    <w:rsid w:val="00582FE1"/>
    <w:rsid w:val="0058383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2A0"/>
    <w:rsid w:val="005C430F"/>
    <w:rsid w:val="005D0D8C"/>
    <w:rsid w:val="005D355C"/>
    <w:rsid w:val="005D62D0"/>
    <w:rsid w:val="005E30DE"/>
    <w:rsid w:val="005E34C9"/>
    <w:rsid w:val="005E3CFF"/>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4A91"/>
    <w:rsid w:val="00937658"/>
    <w:rsid w:val="009402FD"/>
    <w:rsid w:val="009412D7"/>
    <w:rsid w:val="009447FC"/>
    <w:rsid w:val="009505D6"/>
    <w:rsid w:val="00950932"/>
    <w:rsid w:val="0095384B"/>
    <w:rsid w:val="0095524E"/>
    <w:rsid w:val="009603CD"/>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9E4"/>
    <w:rsid w:val="009B2A36"/>
    <w:rsid w:val="009C2FA5"/>
    <w:rsid w:val="009C3D7B"/>
    <w:rsid w:val="009C6843"/>
    <w:rsid w:val="009D22A4"/>
    <w:rsid w:val="009D2872"/>
    <w:rsid w:val="009D38A3"/>
    <w:rsid w:val="009E076A"/>
    <w:rsid w:val="009E0DFD"/>
    <w:rsid w:val="009E45A6"/>
    <w:rsid w:val="009E54BB"/>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97D"/>
    <w:rsid w:val="00AC5CFE"/>
    <w:rsid w:val="00AC628E"/>
    <w:rsid w:val="00AD5E74"/>
    <w:rsid w:val="00AE2AE2"/>
    <w:rsid w:val="00AE3B07"/>
    <w:rsid w:val="00AE6847"/>
    <w:rsid w:val="00AE7450"/>
    <w:rsid w:val="00AE7467"/>
    <w:rsid w:val="00AF27BC"/>
    <w:rsid w:val="00AF68D2"/>
    <w:rsid w:val="00AF6F73"/>
    <w:rsid w:val="00B03624"/>
    <w:rsid w:val="00B04267"/>
    <w:rsid w:val="00B04653"/>
    <w:rsid w:val="00B05894"/>
    <w:rsid w:val="00B0766A"/>
    <w:rsid w:val="00B1289E"/>
    <w:rsid w:val="00B15D6B"/>
    <w:rsid w:val="00B16CEF"/>
    <w:rsid w:val="00B21718"/>
    <w:rsid w:val="00B277B7"/>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E14FE"/>
    <w:rsid w:val="00BE2823"/>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11186"/>
    <w:rsid w:val="00D13F8B"/>
    <w:rsid w:val="00D15581"/>
    <w:rsid w:val="00D16F30"/>
    <w:rsid w:val="00D23BF8"/>
    <w:rsid w:val="00D25973"/>
    <w:rsid w:val="00D3175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17F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07753"/>
    <w:rsid w:val="00E1050D"/>
    <w:rsid w:val="00E137A0"/>
    <w:rsid w:val="00E14734"/>
    <w:rsid w:val="00E20BF7"/>
    <w:rsid w:val="00E21DB6"/>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27A"/>
    <w:rsid w:val="00ED56FA"/>
    <w:rsid w:val="00EE6635"/>
    <w:rsid w:val="00EE6CEE"/>
    <w:rsid w:val="00EE71CE"/>
    <w:rsid w:val="00EE7C75"/>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12301501">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summ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http://www.mdlmarinas.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5</cp:revision>
  <cp:lastPrinted>2023-02-21T09:44:00Z</cp:lastPrinted>
  <dcterms:created xsi:type="dcterms:W3CDTF">2025-06-17T10:50:00Z</dcterms:created>
  <dcterms:modified xsi:type="dcterms:W3CDTF">2025-06-17T12:39:00Z</dcterms:modified>
</cp:coreProperties>
</file>