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F40E" w14:textId="77777777" w:rsidR="009C09D0" w:rsidRDefault="009C09D0" w:rsidP="009B4365">
      <w:pPr>
        <w:pStyle w:val="NormalWeb"/>
        <w:spacing w:before="0" w:beforeAutospacing="0" w:after="0" w:afterAutospacing="0" w:line="276" w:lineRule="auto"/>
        <w:rPr>
          <w:rFonts w:asciiTheme="minorHAnsi" w:hAnsiTheme="minorHAnsi" w:cstheme="minorHAnsi"/>
          <w:b/>
          <w:bCs/>
        </w:rPr>
      </w:pPr>
    </w:p>
    <w:p w14:paraId="42A9B9F7" w14:textId="145DEA58" w:rsidR="001C1D36" w:rsidRPr="009B4365" w:rsidRDefault="001C1D36" w:rsidP="009B4365">
      <w:pPr>
        <w:pStyle w:val="NormalWeb"/>
        <w:spacing w:before="0" w:beforeAutospacing="0" w:after="0" w:afterAutospacing="0" w:line="276" w:lineRule="auto"/>
        <w:rPr>
          <w:rFonts w:asciiTheme="minorHAnsi" w:hAnsiTheme="minorHAnsi" w:cstheme="minorHAnsi"/>
        </w:rPr>
      </w:pPr>
      <w:r w:rsidRPr="009B4365">
        <w:rPr>
          <w:rFonts w:asciiTheme="minorHAnsi" w:hAnsiTheme="minorHAnsi" w:cstheme="minorHAnsi"/>
          <w:b/>
          <w:bCs/>
        </w:rPr>
        <w:t>News Release</w:t>
      </w:r>
    </w:p>
    <w:p w14:paraId="04500935" w14:textId="77777777" w:rsidR="001C1D36" w:rsidRPr="009B4365" w:rsidRDefault="001C1D36" w:rsidP="009B4365">
      <w:pPr>
        <w:pStyle w:val="NormalWeb"/>
        <w:spacing w:before="0" w:beforeAutospacing="0" w:after="0" w:afterAutospacing="0" w:line="276" w:lineRule="auto"/>
        <w:rPr>
          <w:rFonts w:asciiTheme="minorHAnsi" w:hAnsiTheme="minorHAnsi" w:cstheme="minorHAnsi"/>
        </w:rPr>
      </w:pPr>
      <w:r w:rsidRPr="009B4365">
        <w:rPr>
          <w:rFonts w:asciiTheme="minorHAnsi" w:hAnsiTheme="minorHAnsi" w:cstheme="minorHAnsi"/>
          <w:b/>
          <w:bCs/>
        </w:rPr>
        <w:t>For Immediate Release</w:t>
      </w:r>
    </w:p>
    <w:p w14:paraId="0D7DFB44" w14:textId="2F68964B" w:rsidR="001C1D36" w:rsidRPr="009B4365" w:rsidRDefault="00EF1F9F" w:rsidP="009B4365">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b/>
          <w:bCs/>
        </w:rPr>
        <w:t>22</w:t>
      </w:r>
      <w:r w:rsidR="009402FD" w:rsidRPr="009B4365">
        <w:rPr>
          <w:rFonts w:asciiTheme="minorHAnsi" w:hAnsiTheme="minorHAnsi" w:cstheme="minorHAnsi"/>
          <w:b/>
          <w:bCs/>
        </w:rPr>
        <w:t xml:space="preserve"> May</w:t>
      </w:r>
      <w:r w:rsidR="001C1D36" w:rsidRPr="009B4365">
        <w:rPr>
          <w:rFonts w:asciiTheme="minorHAnsi" w:hAnsiTheme="minorHAnsi" w:cstheme="minorHAnsi"/>
          <w:b/>
          <w:bCs/>
        </w:rPr>
        <w:t xml:space="preserve"> 202</w:t>
      </w:r>
      <w:r w:rsidR="009402FD" w:rsidRPr="009B4365">
        <w:rPr>
          <w:rFonts w:asciiTheme="minorHAnsi" w:hAnsiTheme="minorHAnsi" w:cstheme="minorHAnsi"/>
          <w:b/>
          <w:bCs/>
        </w:rPr>
        <w:t>5</w:t>
      </w:r>
    </w:p>
    <w:p w14:paraId="3921EA1D" w14:textId="2E9B3F6A" w:rsidR="001C1D36" w:rsidRPr="009B4365" w:rsidRDefault="001C1D36" w:rsidP="009B4365">
      <w:pPr>
        <w:pStyle w:val="NormalWeb"/>
        <w:spacing w:before="0" w:beforeAutospacing="0" w:after="0" w:afterAutospacing="0" w:line="276" w:lineRule="auto"/>
        <w:ind w:left="360"/>
        <w:rPr>
          <w:rFonts w:asciiTheme="minorHAnsi" w:hAnsiTheme="minorHAnsi" w:cstheme="minorHAnsi"/>
        </w:rPr>
      </w:pPr>
      <w:r w:rsidRPr="009B4365">
        <w:rPr>
          <w:rFonts w:asciiTheme="minorHAnsi" w:hAnsiTheme="minorHAnsi" w:cstheme="minorHAnsi"/>
          <w:b/>
          <w:bCs/>
        </w:rPr>
        <w:t> </w:t>
      </w:r>
    </w:p>
    <w:p w14:paraId="7373A577" w14:textId="77777777" w:rsidR="009B4365" w:rsidRPr="009B4365" w:rsidRDefault="009B4365" w:rsidP="009B4365">
      <w:pPr>
        <w:pStyle w:val="NormalWeb"/>
        <w:spacing w:before="0" w:beforeAutospacing="0" w:after="240" w:afterAutospacing="0" w:line="276" w:lineRule="auto"/>
        <w:jc w:val="center"/>
        <w:rPr>
          <w:rFonts w:asciiTheme="minorHAnsi" w:hAnsiTheme="minorHAnsi" w:cstheme="minorHAnsi"/>
        </w:rPr>
      </w:pPr>
      <w:r w:rsidRPr="009B4365">
        <w:rPr>
          <w:rFonts w:asciiTheme="minorHAnsi" w:hAnsiTheme="minorHAnsi" w:cstheme="minorHAnsi"/>
          <w:b/>
          <w:bCs/>
        </w:rPr>
        <w:t>Approved Boats enhances presence with move to Shamrock Quay </w:t>
      </w:r>
    </w:p>
    <w:p w14:paraId="369FAE15" w14:textId="77777777"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MDL Marinas is pleased to announce that long-standing partner Approved Boats has relocated its operations to Shamrock Quay in Southampton. This strategic move within the MDL Marinas network marks an exciting new chapter for the company, offering enhanced visibility with a dedicated outdoor display area for showcasing boats. </w:t>
      </w:r>
    </w:p>
    <w:p w14:paraId="26E62C2E" w14:textId="77777777"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 xml:space="preserve">Now actively trading, Approved Boats' new 600 </w:t>
      </w:r>
      <w:proofErr w:type="spellStart"/>
      <w:r w:rsidRPr="009B4365">
        <w:rPr>
          <w:rFonts w:asciiTheme="minorHAnsi" w:hAnsiTheme="minorHAnsi" w:cstheme="minorHAnsi"/>
        </w:rPr>
        <w:t>sq</w:t>
      </w:r>
      <w:proofErr w:type="spellEnd"/>
      <w:r w:rsidRPr="009B4365">
        <w:rPr>
          <w:rFonts w:asciiTheme="minorHAnsi" w:hAnsiTheme="minorHAnsi" w:cstheme="minorHAnsi"/>
        </w:rPr>
        <w:t xml:space="preserve"> ft office is situated in Unit 1, Building 14, right next to the iconic Yellow Welly. The space has undergone a complete refurbishment, offering a modern and stylish environment for clients and visitors.</w:t>
      </w:r>
    </w:p>
    <w:p w14:paraId="67399E4D" w14:textId="77777777"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Previously based at Hamble Point, Approved Boats' relocation to Shamrock Quay not only enhances its presence but also brings a prominent brokerage to the marina. The move is expected to boost foot traffic and strengthen Shamrock Quay’s reputation as a vibrant hub for marine businesses and boating enthusiasts.</w:t>
      </w:r>
    </w:p>
    <w:p w14:paraId="287AD5A7" w14:textId="77777777"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 xml:space="preserve">As part of the move, Approved Boats now has a dedicated outdoor area, allowing them to showcase their impressive lineup including models from </w:t>
      </w:r>
      <w:proofErr w:type="spellStart"/>
      <w:r w:rsidRPr="009B4365">
        <w:rPr>
          <w:rFonts w:asciiTheme="minorHAnsi" w:hAnsiTheme="minorHAnsi" w:cstheme="minorHAnsi"/>
        </w:rPr>
        <w:t>Fairline</w:t>
      </w:r>
      <w:proofErr w:type="spellEnd"/>
      <w:r w:rsidRPr="009B4365">
        <w:rPr>
          <w:rFonts w:asciiTheme="minorHAnsi" w:hAnsiTheme="minorHAnsi" w:cstheme="minorHAnsi"/>
        </w:rPr>
        <w:t>, Absolute and Aquila creating a dynamic experience for visitors and prospective buyers.</w:t>
      </w:r>
    </w:p>
    <w:p w14:paraId="0B632DCE" w14:textId="77777777"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 xml:space="preserve">Barry </w:t>
      </w:r>
      <w:proofErr w:type="spellStart"/>
      <w:r w:rsidRPr="009B4365">
        <w:rPr>
          <w:rFonts w:asciiTheme="minorHAnsi" w:hAnsiTheme="minorHAnsi" w:cstheme="minorHAnsi"/>
        </w:rPr>
        <w:t>Radband</w:t>
      </w:r>
      <w:proofErr w:type="spellEnd"/>
      <w:r w:rsidRPr="009B4365">
        <w:rPr>
          <w:rFonts w:asciiTheme="minorHAnsi" w:hAnsiTheme="minorHAnsi" w:cstheme="minorHAnsi"/>
        </w:rPr>
        <w:t xml:space="preserve">, Marina Manager at Shamrock Quay, welcomes the addition: “We’re delighted to have Approved Boats join the Shamrock Quay community. Their presence adds another dimension to the growing marina businesses here and complements the recent arrivals of </w:t>
      </w:r>
      <w:proofErr w:type="spellStart"/>
      <w:r w:rsidRPr="009B4365">
        <w:rPr>
          <w:rFonts w:asciiTheme="minorHAnsi" w:hAnsiTheme="minorHAnsi" w:cstheme="minorHAnsi"/>
        </w:rPr>
        <w:t>Paintworld</w:t>
      </w:r>
      <w:proofErr w:type="spellEnd"/>
      <w:r w:rsidRPr="009B4365">
        <w:rPr>
          <w:rFonts w:asciiTheme="minorHAnsi" w:hAnsiTheme="minorHAnsi" w:cstheme="minorHAnsi"/>
        </w:rPr>
        <w:t xml:space="preserve"> Ltd, Aquamarine Hamble, Lateral and the expansion of US Creative.”</w:t>
      </w:r>
    </w:p>
    <w:p w14:paraId="76E0EBE8" w14:textId="77777777"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“We’re excited to establish our presence at Shamrock Quay,” says David O’Rourke, Managing Director at Approved Boats. “Staying within the MDL family was important to us, and this new location provides the perfect setting to grow our presence, better serve our customers with on-site displays and gives us the opportunity to engage more directly with the boating community.”</w:t>
      </w:r>
    </w:p>
    <w:p w14:paraId="2DC72CB4" w14:textId="77777777"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 xml:space="preserve">Approved Boats also continues to operate from MDL's renowned Ocean Village Marina and is a regular exhibitor at the South Coast &amp; Green Tech Boat Show, further demonstrating its </w:t>
      </w:r>
      <w:r w:rsidRPr="009B4365">
        <w:rPr>
          <w:rFonts w:asciiTheme="minorHAnsi" w:hAnsiTheme="minorHAnsi" w:cstheme="minorHAnsi"/>
        </w:rPr>
        <w:lastRenderedPageBreak/>
        <w:t>strong commitment to partnering with MDL Marinas and supporting its vibrant marine community.</w:t>
      </w:r>
    </w:p>
    <w:p w14:paraId="4D0AADF6" w14:textId="5020F566" w:rsidR="009B4365" w:rsidRPr="009B4365" w:rsidRDefault="009B4365" w:rsidP="009B4365">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rPr>
        <w:t xml:space="preserve">For more information on MDL’s Shamrock Quay and additional 17 UK marinas, premium berthing, boatyard services, holiday parks and eco gym, visit </w:t>
      </w:r>
      <w:hyperlink r:id="rId8" w:history="1">
        <w:r w:rsidR="009C09D0" w:rsidRPr="00ED435C">
          <w:rPr>
            <w:rStyle w:val="Hyperlink"/>
            <w:rFonts w:asciiTheme="minorHAnsi" w:hAnsiTheme="minorHAnsi" w:cstheme="minorHAnsi"/>
          </w:rPr>
          <w:t>w</w:t>
        </w:r>
        <w:r w:rsidR="009C09D0" w:rsidRPr="00ED435C">
          <w:rPr>
            <w:rStyle w:val="Hyperlink"/>
            <w:rFonts w:asciiTheme="minorHAnsi" w:hAnsiTheme="minorHAnsi" w:cstheme="minorHAnsi"/>
          </w:rPr>
          <w:t>ww.mdlmarinas.co.uk</w:t>
        </w:r>
      </w:hyperlink>
    </w:p>
    <w:p w14:paraId="4D9FFCE5" w14:textId="004B92B0" w:rsidR="00D25973" w:rsidRPr="009C09D0" w:rsidRDefault="009B4365" w:rsidP="009C09D0">
      <w:pPr>
        <w:pStyle w:val="NormalWeb"/>
        <w:spacing w:before="0" w:beforeAutospacing="0" w:after="240" w:afterAutospacing="0" w:line="276" w:lineRule="auto"/>
        <w:rPr>
          <w:rFonts w:asciiTheme="minorHAnsi" w:hAnsiTheme="minorHAnsi" w:cstheme="minorHAnsi"/>
        </w:rPr>
      </w:pPr>
      <w:r w:rsidRPr="009B4365">
        <w:rPr>
          <w:rFonts w:asciiTheme="minorHAnsi" w:hAnsiTheme="minorHAnsi" w:cstheme="minorHAnsi"/>
          <w:b/>
          <w:bCs/>
        </w:rPr>
        <w:t>ENDS</w:t>
      </w: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9"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0"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1"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3C579E8B" w14:textId="77777777" w:rsidR="0077672F" w:rsidRPr="003B05AA" w:rsidRDefault="0077672F" w:rsidP="003B05AA">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C339" w14:textId="77777777" w:rsidR="00401905" w:rsidRDefault="00401905" w:rsidP="002754A6">
      <w:r>
        <w:separator/>
      </w:r>
    </w:p>
  </w:endnote>
  <w:endnote w:type="continuationSeparator" w:id="0">
    <w:p w14:paraId="50BB907B" w14:textId="77777777" w:rsidR="00401905" w:rsidRDefault="00401905" w:rsidP="002754A6">
      <w:r>
        <w:continuationSeparator/>
      </w:r>
    </w:p>
  </w:endnote>
  <w:endnote w:type="continuationNotice" w:id="1">
    <w:p w14:paraId="6901047C" w14:textId="77777777" w:rsidR="00401905" w:rsidRDefault="00401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54B21" w14:textId="77777777" w:rsidR="00401905" w:rsidRDefault="00401905" w:rsidP="002754A6">
      <w:r>
        <w:separator/>
      </w:r>
    </w:p>
  </w:footnote>
  <w:footnote w:type="continuationSeparator" w:id="0">
    <w:p w14:paraId="0BEC59CC" w14:textId="77777777" w:rsidR="00401905" w:rsidRDefault="00401905" w:rsidP="002754A6">
      <w:r>
        <w:continuationSeparator/>
      </w:r>
    </w:p>
  </w:footnote>
  <w:footnote w:type="continuationNotice" w:id="1">
    <w:p w14:paraId="2A2EDDD6" w14:textId="77777777" w:rsidR="00401905" w:rsidRDefault="00401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7BCF"/>
    <w:rsid w:val="001F0B0E"/>
    <w:rsid w:val="001F2B4E"/>
    <w:rsid w:val="001F4614"/>
    <w:rsid w:val="001F4915"/>
    <w:rsid w:val="001F7647"/>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29A"/>
    <w:rsid w:val="00291922"/>
    <w:rsid w:val="00292760"/>
    <w:rsid w:val="002974C3"/>
    <w:rsid w:val="00297750"/>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7B3F"/>
    <w:rsid w:val="003B05AA"/>
    <w:rsid w:val="003B5057"/>
    <w:rsid w:val="003C0CDA"/>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905"/>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A9A"/>
    <w:rsid w:val="004F5222"/>
    <w:rsid w:val="004F53D2"/>
    <w:rsid w:val="004F615F"/>
    <w:rsid w:val="00503032"/>
    <w:rsid w:val="00503C0F"/>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819BD"/>
    <w:rsid w:val="00582FE1"/>
    <w:rsid w:val="0058383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E30DE"/>
    <w:rsid w:val="005E34C9"/>
    <w:rsid w:val="005E3CFF"/>
    <w:rsid w:val="005E71EB"/>
    <w:rsid w:val="005F012F"/>
    <w:rsid w:val="005F1133"/>
    <w:rsid w:val="005F1695"/>
    <w:rsid w:val="005F2D4A"/>
    <w:rsid w:val="005F3DC5"/>
    <w:rsid w:val="005F595D"/>
    <w:rsid w:val="005F77FF"/>
    <w:rsid w:val="00602F7C"/>
    <w:rsid w:val="0061099B"/>
    <w:rsid w:val="00613428"/>
    <w:rsid w:val="0061372A"/>
    <w:rsid w:val="0062153E"/>
    <w:rsid w:val="00623E37"/>
    <w:rsid w:val="006253E7"/>
    <w:rsid w:val="00633695"/>
    <w:rsid w:val="0063456F"/>
    <w:rsid w:val="00635A46"/>
    <w:rsid w:val="00637F45"/>
    <w:rsid w:val="0064580A"/>
    <w:rsid w:val="00645BAA"/>
    <w:rsid w:val="00647C5E"/>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6F7D1D"/>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328D8"/>
    <w:rsid w:val="00843907"/>
    <w:rsid w:val="0084715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9E4"/>
    <w:rsid w:val="009B2A36"/>
    <w:rsid w:val="009B4365"/>
    <w:rsid w:val="009C09D0"/>
    <w:rsid w:val="009C2FA5"/>
    <w:rsid w:val="009C3D7B"/>
    <w:rsid w:val="009C6843"/>
    <w:rsid w:val="009D22A4"/>
    <w:rsid w:val="009D2872"/>
    <w:rsid w:val="009D38A3"/>
    <w:rsid w:val="009E076A"/>
    <w:rsid w:val="009E0DFD"/>
    <w:rsid w:val="009E45A6"/>
    <w:rsid w:val="009E54BB"/>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3624"/>
    <w:rsid w:val="00B04267"/>
    <w:rsid w:val="00B04653"/>
    <w:rsid w:val="00B05894"/>
    <w:rsid w:val="00B0766A"/>
    <w:rsid w:val="00B1289E"/>
    <w:rsid w:val="00B15D6B"/>
    <w:rsid w:val="00B16CEF"/>
    <w:rsid w:val="00B277B7"/>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E14FE"/>
    <w:rsid w:val="00BE2823"/>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96F55"/>
    <w:rsid w:val="00DA1FC9"/>
    <w:rsid w:val="00DA6237"/>
    <w:rsid w:val="00DB17B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6FA"/>
    <w:rsid w:val="00EE6635"/>
    <w:rsid w:val="00EE6CEE"/>
    <w:rsid w:val="00EE71CE"/>
    <w:rsid w:val="00EE7C75"/>
    <w:rsid w:val="00EF1F9F"/>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6052120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a.agency" TargetMode="External"/><Relationship Id="rId4" Type="http://schemas.openxmlformats.org/officeDocument/2006/relationships/settings" Target="settings.xml"/><Relationship Id="rId9" Type="http://schemas.openxmlformats.org/officeDocument/2006/relationships/hyperlink" Target="http://www.mdlmarina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6</cp:revision>
  <cp:lastPrinted>2023-02-21T09:44:00Z</cp:lastPrinted>
  <dcterms:created xsi:type="dcterms:W3CDTF">2025-05-22T09:46:00Z</dcterms:created>
  <dcterms:modified xsi:type="dcterms:W3CDTF">2025-05-22T09:51:00Z</dcterms:modified>
</cp:coreProperties>
</file>